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C77DE" w:rsidRPr="001C77DE" w:rsidP="001C77DE">
      <w:pPr>
        <w:pStyle w:val="Heading3"/>
        <w:jc w:val="center"/>
        <w:rPr>
          <w:b/>
          <w:color w:val="auto"/>
          <w:sz w:val="36"/>
          <w:szCs w:val="36"/>
        </w:rPr>
      </w:pPr>
      <w:r w:rsidRPr="001C77DE">
        <w:rPr>
          <w:b/>
          <w:color w:val="auto"/>
          <w:sz w:val="36"/>
          <w:szCs w:val="36"/>
        </w:rPr>
        <w:t xml:space="preserve">Written Evidence Submitted Alex Simpson at </w:t>
      </w:r>
      <w:r w:rsidRPr="006008D2" w:rsidR="006008D2">
        <w:rPr>
          <w:b/>
          <w:bCs/>
          <w:color w:val="auto"/>
          <w:sz w:val="36"/>
          <w:szCs w:val="36"/>
        </w:rPr>
        <w:t>Royal College of General Practitioners</w:t>
      </w:r>
      <w:r w:rsidRPr="001C77DE">
        <w:rPr>
          <w:b/>
          <w:color w:val="auto"/>
          <w:sz w:val="36"/>
          <w:szCs w:val="36"/>
        </w:rPr>
        <w:t xml:space="preserve"> (DNE00</w:t>
      </w:r>
      <w:r>
        <w:rPr>
          <w:b/>
          <w:color w:val="auto"/>
          <w:sz w:val="36"/>
          <w:szCs w:val="36"/>
        </w:rPr>
        <w:t>10</w:t>
      </w:r>
      <w:r w:rsidRPr="001C77DE">
        <w:rPr>
          <w:b/>
          <w:color w:val="auto"/>
          <w:sz w:val="36"/>
          <w:szCs w:val="36"/>
        </w:rPr>
        <w:t>)</w:t>
      </w:r>
    </w:p>
    <w:p w:rsidR="001C77DE" w:rsidP="007D2E77">
      <w:pPr>
        <w:pStyle w:val="Heading3"/>
        <w:rPr>
          <w:b/>
        </w:rPr>
      </w:pPr>
    </w:p>
    <w:p w:rsidR="001C77DE" w:rsidP="007D2E77">
      <w:pPr>
        <w:pStyle w:val="Heading3"/>
        <w:rPr>
          <w:b/>
        </w:rPr>
      </w:pPr>
    </w:p>
    <w:p w:rsidR="001C77DE" w:rsidP="007D2E77">
      <w:pPr>
        <w:pStyle w:val="Heading3"/>
        <w:rPr>
          <w:b/>
        </w:rPr>
      </w:pPr>
    </w:p>
    <w:p w:rsidR="006008D2" w:rsidRPr="00C71635" w:rsidP="007D2E77">
      <w:pPr>
        <w:pStyle w:val="Heading3"/>
        <w:rPr>
          <w:b/>
        </w:rPr>
      </w:pPr>
      <w:r w:rsidRPr="00C71635">
        <w:rPr>
          <w:b/>
        </w:rPr>
        <w:t xml:space="preserve">RCGP </w:t>
      </w:r>
      <w:r w:rsidRPr="00C71635">
        <w:rPr>
          <w:b/>
          <w:bCs/>
        </w:rPr>
        <w:t>response</w:t>
      </w:r>
      <w:r w:rsidRPr="00C71635">
        <w:rPr>
          <w:b/>
        </w:rPr>
        <w:t xml:space="preserve"> – Health </w:t>
      </w:r>
      <w:r w:rsidRPr="00C71635">
        <w:rPr>
          <w:b/>
        </w:rPr>
        <w:t>and</w:t>
      </w:r>
      <w:r w:rsidRPr="00C71635">
        <w:rPr>
          <w:b/>
        </w:rPr>
        <w:t xml:space="preserve"> Social Care Committee inquiry ‘Delivering the</w:t>
      </w:r>
      <w:r w:rsidRPr="00C71635">
        <w:rPr>
          <w:b/>
        </w:rPr>
        <w:t xml:space="preserve"> </w:t>
      </w:r>
      <w:r w:rsidRPr="00C71635">
        <w:rPr>
          <w:b/>
        </w:rPr>
        <w:t xml:space="preserve">Neighbourhood Health Service: Estates’ </w:t>
      </w:r>
      <w:r w:rsidRPr="00C71635">
        <w:rPr>
          <w:b/>
        </w:rPr>
        <w:t>c</w:t>
      </w:r>
      <w:r w:rsidRPr="00C71635">
        <w:rPr>
          <w:b/>
        </w:rPr>
        <w:t>all for</w:t>
      </w:r>
      <w:r w:rsidRPr="00C71635">
        <w:rPr>
          <w:b/>
        </w:rPr>
        <w:t xml:space="preserve"> e</w:t>
      </w:r>
      <w:r w:rsidRPr="00C71635">
        <w:rPr>
          <w:b/>
        </w:rPr>
        <w:t>vidence</w:t>
      </w:r>
    </w:p>
    <w:p w:rsidR="006008D2" w:rsidRPr="001110FE" w:rsidP="001110FE">
      <w:r>
        <w:t>February 2026</w:t>
      </w:r>
    </w:p>
    <w:p w:rsidR="006008D2" w:rsidRPr="00E55627" w:rsidP="007D2E77"/>
    <w:p w:rsidR="006008D2" w:rsidP="00DC528A">
      <w:pPr>
        <w:pStyle w:val="Heading4"/>
      </w:pPr>
      <w:r>
        <w:t>Introduction</w:t>
      </w:r>
      <w:r>
        <w:t>:</w:t>
      </w:r>
    </w:p>
    <w:p w:rsidR="006008D2" w:rsidP="00DC528A">
      <w:pPr>
        <w:rPr>
          <w:sz w:val="22"/>
          <w:szCs w:val="20"/>
        </w:rPr>
      </w:pPr>
      <w:r w:rsidRPr="003679AA">
        <w:rPr>
          <w:sz w:val="22"/>
          <w:szCs w:val="20"/>
        </w:rPr>
        <w:t xml:space="preserve">The Royal College of General Practitioners </w:t>
      </w:r>
      <w:r>
        <w:rPr>
          <w:sz w:val="22"/>
          <w:szCs w:val="20"/>
        </w:rPr>
        <w:t xml:space="preserve">(RCGP) </w:t>
      </w:r>
      <w:r w:rsidRPr="003679AA">
        <w:rPr>
          <w:sz w:val="22"/>
          <w:szCs w:val="20"/>
        </w:rPr>
        <w:t xml:space="preserve">is the professional membership body for </w:t>
      </w:r>
      <w:r w:rsidRPr="00BD23F1">
        <w:rPr>
          <w:sz w:val="22"/>
          <w:szCs w:val="20"/>
        </w:rPr>
        <w:t>GPs in the UK</w:t>
      </w:r>
      <w:r w:rsidRPr="003679AA">
        <w:rPr>
          <w:sz w:val="22"/>
          <w:szCs w:val="20"/>
        </w:rPr>
        <w:t xml:space="preserve">, representing </w:t>
      </w:r>
      <w:r>
        <w:rPr>
          <w:sz w:val="22"/>
          <w:szCs w:val="20"/>
        </w:rPr>
        <w:t xml:space="preserve">and supporting </w:t>
      </w:r>
      <w:r w:rsidRPr="003679AA">
        <w:rPr>
          <w:sz w:val="22"/>
          <w:szCs w:val="20"/>
        </w:rPr>
        <w:t xml:space="preserve">over 54,500 </w:t>
      </w:r>
      <w:r>
        <w:rPr>
          <w:sz w:val="22"/>
          <w:szCs w:val="20"/>
        </w:rPr>
        <w:t xml:space="preserve">members </w:t>
      </w:r>
      <w:r w:rsidRPr="00BD23F1">
        <w:rPr>
          <w:sz w:val="22"/>
          <w:szCs w:val="20"/>
        </w:rPr>
        <w:t>through all stages of their career, from medical students considering general practice, through to training, qualified years and retirement</w:t>
      </w:r>
      <w:r w:rsidRPr="003679AA">
        <w:rPr>
          <w:sz w:val="22"/>
          <w:szCs w:val="20"/>
        </w:rPr>
        <w:t xml:space="preserve">. </w:t>
      </w:r>
      <w:r w:rsidRPr="00BD23F1">
        <w:rPr>
          <w:sz w:val="22"/>
          <w:szCs w:val="20"/>
        </w:rPr>
        <w:t xml:space="preserve">Our purpose is to encourage, foster and maintain the highest possible standards in general medical practice.  </w:t>
      </w:r>
    </w:p>
    <w:p w:rsidR="006008D2" w:rsidP="00DC528A">
      <w:pPr>
        <w:rPr>
          <w:sz w:val="22"/>
          <w:szCs w:val="20"/>
        </w:rPr>
      </w:pPr>
      <w:r w:rsidRPr="003679AA">
        <w:rPr>
          <w:sz w:val="22"/>
          <w:szCs w:val="20"/>
        </w:rPr>
        <w:t>This submission focuses primarily on England, reflecting the Committee’s inquiry and the Government’s stated plans for Neighbourhood Health Centres</w:t>
      </w:r>
      <w:r>
        <w:rPr>
          <w:sz w:val="22"/>
          <w:szCs w:val="20"/>
        </w:rPr>
        <w:t xml:space="preserve"> (NHC</w:t>
      </w:r>
      <w:r>
        <w:rPr>
          <w:sz w:val="22"/>
          <w:szCs w:val="20"/>
        </w:rPr>
        <w:t>s</w:t>
      </w:r>
      <w:r>
        <w:rPr>
          <w:sz w:val="22"/>
          <w:szCs w:val="20"/>
        </w:rPr>
        <w:t>)</w:t>
      </w:r>
      <w:r>
        <w:rPr>
          <w:sz w:val="22"/>
          <w:szCs w:val="20"/>
        </w:rPr>
        <w:t>.</w:t>
      </w:r>
    </w:p>
    <w:p w:rsidR="006008D2" w:rsidP="00DC528A">
      <w:pPr>
        <w:rPr>
          <w:sz w:val="22"/>
          <w:szCs w:val="20"/>
        </w:rPr>
      </w:pPr>
    </w:p>
    <w:p w:rsidR="006008D2" w:rsidP="00DC528A">
      <w:pPr>
        <w:rPr>
          <w:sz w:val="22"/>
          <w:szCs w:val="20"/>
        </w:rPr>
      </w:pPr>
      <w:r w:rsidRPr="000B2832">
        <w:rPr>
          <w:sz w:val="22"/>
          <w:szCs w:val="20"/>
        </w:rPr>
        <w:t xml:space="preserve">In </w:t>
      </w:r>
      <w:r>
        <w:fldChar w:fldCharType="begin"/>
      </w:r>
      <w:r>
        <w:instrText xml:space="preserve"> HYPERLINK "https://www.england.nhs.uk/estates/integrated-care-system-infrastructure-strategy/?utm_source=chatgpt.com" </w:instrText>
      </w:r>
      <w:r>
        <w:fldChar w:fldCharType="separate"/>
      </w:r>
      <w:r w:rsidRPr="000B2832">
        <w:rPr>
          <w:rStyle w:val="Hyperlink"/>
          <w:sz w:val="22"/>
          <w:szCs w:val="20"/>
        </w:rPr>
        <w:t>March 2024, NHS England</w:t>
      </w:r>
      <w:r>
        <w:fldChar w:fldCharType="end"/>
      </w:r>
      <w:r w:rsidRPr="000B2832">
        <w:rPr>
          <w:sz w:val="22"/>
          <w:szCs w:val="20"/>
        </w:rPr>
        <w:t xml:space="preserve"> asked each Integrated Care System (ICS) to develop a 10-year, system-wide infrastructure strategy, aligned to clinical priorities, long-term and national plans, including requirements across NHS trust and primary care network estate.</w:t>
      </w:r>
      <w:r>
        <w:rPr>
          <w:rStyle w:val="EndnoteReference"/>
          <w:sz w:val="22"/>
          <w:szCs w:val="20"/>
        </w:rPr>
        <w:endnoteReference w:id="2"/>
      </w:r>
      <w:r>
        <w:rPr>
          <w:sz w:val="22"/>
          <w:szCs w:val="20"/>
        </w:rPr>
        <w:t xml:space="preserve"> </w:t>
      </w:r>
      <w:r w:rsidRPr="000B2832">
        <w:rPr>
          <w:sz w:val="22"/>
          <w:szCs w:val="20"/>
        </w:rPr>
        <w:t>The RCGP understand</w:t>
      </w:r>
      <w:r>
        <w:rPr>
          <w:sz w:val="22"/>
          <w:szCs w:val="20"/>
        </w:rPr>
        <w:t>s</w:t>
      </w:r>
      <w:r w:rsidRPr="000B2832">
        <w:rPr>
          <w:sz w:val="22"/>
          <w:szCs w:val="20"/>
        </w:rPr>
        <w:t xml:space="preserve"> these assessments have not </w:t>
      </w:r>
      <w:r>
        <w:rPr>
          <w:sz w:val="22"/>
          <w:szCs w:val="20"/>
        </w:rPr>
        <w:t xml:space="preserve">yet </w:t>
      </w:r>
      <w:r w:rsidRPr="000B2832">
        <w:rPr>
          <w:sz w:val="22"/>
          <w:szCs w:val="20"/>
        </w:rPr>
        <w:t xml:space="preserve">been </w:t>
      </w:r>
      <w:r>
        <w:rPr>
          <w:sz w:val="22"/>
          <w:szCs w:val="20"/>
        </w:rPr>
        <w:t xml:space="preserve">consolidated and </w:t>
      </w:r>
      <w:r w:rsidRPr="000B2832">
        <w:rPr>
          <w:sz w:val="22"/>
          <w:szCs w:val="20"/>
        </w:rPr>
        <w:t>publicly reported</w:t>
      </w:r>
      <w:r>
        <w:rPr>
          <w:sz w:val="22"/>
          <w:szCs w:val="20"/>
        </w:rPr>
        <w:t xml:space="preserve"> </w:t>
      </w:r>
      <w:r>
        <w:rPr>
          <w:sz w:val="22"/>
          <w:szCs w:val="20"/>
        </w:rPr>
        <w:t>with</w:t>
      </w:r>
      <w:r>
        <w:rPr>
          <w:sz w:val="22"/>
          <w:szCs w:val="20"/>
        </w:rPr>
        <w:t xml:space="preserve"> a </w:t>
      </w:r>
      <w:r>
        <w:rPr>
          <w:sz w:val="22"/>
          <w:szCs w:val="20"/>
        </w:rPr>
        <w:t>national oversight/overview</w:t>
      </w:r>
      <w:r w:rsidRPr="000B2832">
        <w:rPr>
          <w:sz w:val="22"/>
          <w:szCs w:val="20"/>
        </w:rPr>
        <w:t xml:space="preserve">. To support transparency, accountability, and confidence in the 10 Year Health Plan (10HYP), the Committee should recommend publication in full, including methodology and ICB-level annexes, and press </w:t>
      </w:r>
      <w:r>
        <w:rPr>
          <w:sz w:val="22"/>
          <w:szCs w:val="20"/>
        </w:rPr>
        <w:t xml:space="preserve">the </w:t>
      </w:r>
      <w:r w:rsidRPr="002811FF">
        <w:rPr>
          <w:sz w:val="22"/>
          <w:szCs w:val="20"/>
        </w:rPr>
        <w:t xml:space="preserve">Department of Health and Social Care </w:t>
      </w:r>
      <w:r>
        <w:rPr>
          <w:sz w:val="22"/>
          <w:szCs w:val="20"/>
        </w:rPr>
        <w:t>(</w:t>
      </w:r>
      <w:r w:rsidRPr="000B2832">
        <w:rPr>
          <w:sz w:val="22"/>
          <w:szCs w:val="20"/>
        </w:rPr>
        <w:t>DHSC</w:t>
      </w:r>
      <w:r>
        <w:rPr>
          <w:sz w:val="22"/>
          <w:szCs w:val="20"/>
        </w:rPr>
        <w:t>)</w:t>
      </w:r>
      <w:r w:rsidRPr="000B2832">
        <w:rPr>
          <w:sz w:val="22"/>
          <w:szCs w:val="20"/>
        </w:rPr>
        <w:t xml:space="preserve"> to publish a 10-year primary care estates delivery plan and funding map.</w:t>
      </w:r>
    </w:p>
    <w:p w:rsidR="006008D2" w:rsidRPr="003679AA" w:rsidP="00DC528A">
      <w:pPr>
        <w:rPr>
          <w:sz w:val="22"/>
          <w:szCs w:val="20"/>
        </w:rPr>
      </w:pPr>
    </w:p>
    <w:p w:rsidR="006008D2" w:rsidP="00EE6D16">
      <w:pPr>
        <w:pStyle w:val="Heading4"/>
      </w:pPr>
      <w:r w:rsidRPr="000A7F3F">
        <w:t xml:space="preserve">RCGP key </w:t>
      </w:r>
      <w:r>
        <w:t>asks</w:t>
      </w:r>
      <w:r>
        <w:t>:</w:t>
      </w:r>
    </w:p>
    <w:p w:rsidR="006008D2" w:rsidP="00805E00">
      <w:pPr>
        <w:pStyle w:val="ListParagraph"/>
        <w:numPr>
          <w:ilvl w:val="0"/>
          <w:numId w:val="25"/>
        </w:numPr>
        <w:ind w:left="360"/>
        <w:rPr>
          <w:b/>
          <w:bCs/>
          <w:sz w:val="22"/>
          <w:szCs w:val="20"/>
        </w:rPr>
      </w:pPr>
      <w:r w:rsidRPr="003679AA">
        <w:rPr>
          <w:b/>
          <w:bCs/>
          <w:sz w:val="22"/>
          <w:szCs w:val="20"/>
        </w:rPr>
        <w:t>Publish NHS England’s 10-year infrastructure strategies in full, with methodology and ICB annexes, and require DHSC to set out a funded 10-year primary care estates delivery plan</w:t>
      </w:r>
      <w:r>
        <w:rPr>
          <w:b/>
          <w:bCs/>
          <w:sz w:val="22"/>
          <w:szCs w:val="20"/>
        </w:rPr>
        <w:t>.</w:t>
      </w:r>
    </w:p>
    <w:p w:rsidR="006008D2" w:rsidRPr="003679AA" w:rsidP="00EE6D16">
      <w:pPr>
        <w:rPr>
          <w:b/>
          <w:bCs/>
          <w:sz w:val="22"/>
          <w:szCs w:val="20"/>
        </w:rPr>
      </w:pPr>
    </w:p>
    <w:p w:rsidR="006008D2" w:rsidRPr="007D5B0A" w:rsidP="00805E00">
      <w:pPr>
        <w:pStyle w:val="ListParagraph"/>
        <w:numPr>
          <w:ilvl w:val="0"/>
          <w:numId w:val="25"/>
        </w:numPr>
        <w:ind w:left="360"/>
        <w:rPr>
          <w:b/>
          <w:bCs/>
          <w:sz w:val="22"/>
          <w:szCs w:val="20"/>
        </w:rPr>
      </w:pPr>
      <w:r w:rsidRPr="007D5B0A">
        <w:rPr>
          <w:b/>
          <w:bCs/>
          <w:sz w:val="22"/>
          <w:szCs w:val="20"/>
        </w:rPr>
        <w:t>Address the relationship between estate infrastructure and workforce</w:t>
      </w:r>
      <w:r>
        <w:rPr>
          <w:b/>
          <w:bCs/>
          <w:sz w:val="22"/>
          <w:szCs w:val="20"/>
        </w:rPr>
        <w:t xml:space="preserve"> by investing</w:t>
      </w:r>
      <w:r w:rsidRPr="007D5B0A">
        <w:rPr>
          <w:b/>
          <w:bCs/>
          <w:sz w:val="22"/>
          <w:szCs w:val="20"/>
        </w:rPr>
        <w:t xml:space="preserve"> in fit-for-purpose GP premises and training to support workforce and neighbourhood health service delivery, to meet future demand.</w:t>
      </w:r>
    </w:p>
    <w:p w:rsidR="006008D2">
      <w:pPr>
        <w:spacing w:after="160"/>
      </w:pPr>
    </w:p>
    <w:p w:rsidR="006008D2" w:rsidRPr="00CE7C49" w:rsidP="000B2832">
      <w:pPr>
        <w:pStyle w:val="Heading4"/>
      </w:pPr>
      <w:r w:rsidRPr="00CE7C49">
        <w:t xml:space="preserve">Call for Evidence Questions: </w:t>
      </w:r>
    </w:p>
    <w:p w:rsidR="006008D2" w:rsidRPr="00CE7C49" w:rsidP="000B2832">
      <w:pPr>
        <w:numPr>
          <w:ilvl w:val="0"/>
          <w:numId w:val="20"/>
        </w:numPr>
        <w:rPr>
          <w:i/>
          <w:color w:val="0070C0"/>
          <w:sz w:val="22"/>
          <w:szCs w:val="20"/>
        </w:rPr>
      </w:pPr>
      <w:r w:rsidRPr="00CE7C49">
        <w:rPr>
          <w:i/>
          <w:color w:val="0070C0"/>
          <w:sz w:val="22"/>
          <w:szCs w:val="20"/>
        </w:rPr>
        <w:t>What is needed from the NHS estate to allow it to deliver the Neighbourhood Health Service?</w:t>
      </w:r>
    </w:p>
    <w:p w:rsidR="006008D2" w:rsidRPr="00CE7C49" w:rsidP="00127577">
      <w:pPr>
        <w:pStyle w:val="ListParagraph"/>
        <w:numPr>
          <w:ilvl w:val="0"/>
          <w:numId w:val="29"/>
        </w:numPr>
        <w:rPr>
          <w:i/>
          <w:color w:val="0070C0"/>
          <w:sz w:val="22"/>
          <w:szCs w:val="20"/>
        </w:rPr>
      </w:pPr>
      <w:r w:rsidRPr="00CE7C49">
        <w:rPr>
          <w:i/>
          <w:color w:val="0070C0"/>
          <w:sz w:val="22"/>
          <w:szCs w:val="20"/>
        </w:rPr>
        <w:t>How does this compare to the current NHS estate?</w:t>
      </w:r>
    </w:p>
    <w:p w:rsidR="006008D2" w:rsidRPr="00CE7C49" w:rsidP="00127577">
      <w:pPr>
        <w:pStyle w:val="ListParagraph"/>
        <w:numPr>
          <w:ilvl w:val="0"/>
          <w:numId w:val="29"/>
        </w:numPr>
        <w:rPr>
          <w:i/>
          <w:color w:val="0070C0"/>
          <w:sz w:val="22"/>
          <w:szCs w:val="20"/>
        </w:rPr>
      </w:pPr>
      <w:r w:rsidRPr="00CE7C49">
        <w:rPr>
          <w:i/>
          <w:color w:val="0070C0"/>
          <w:sz w:val="22"/>
          <w:szCs w:val="20"/>
        </w:rPr>
        <w:t>Do DHSC and the NHS hold sufficient data on the condition and utilisation of NHS estate?</w:t>
      </w:r>
    </w:p>
    <w:p w:rsidR="006008D2" w:rsidRPr="00CE7C49" w:rsidP="00127577">
      <w:pPr>
        <w:pStyle w:val="ListParagraph"/>
        <w:numPr>
          <w:ilvl w:val="0"/>
          <w:numId w:val="29"/>
        </w:numPr>
        <w:rPr>
          <w:i/>
          <w:color w:val="0070C0"/>
          <w:sz w:val="22"/>
          <w:szCs w:val="20"/>
        </w:rPr>
      </w:pPr>
      <w:r w:rsidRPr="00CE7C49">
        <w:rPr>
          <w:i/>
          <w:color w:val="0070C0"/>
          <w:sz w:val="22"/>
          <w:szCs w:val="20"/>
        </w:rPr>
        <w:t>Are there opportunities to better utilise the current NHS estate to support delivery of the Neighbourhood Health Service? </w:t>
      </w:r>
    </w:p>
    <w:p w:rsidR="006008D2" w:rsidP="000B2832">
      <w:pPr>
        <w:rPr>
          <w:sz w:val="22"/>
          <w:szCs w:val="20"/>
        </w:rPr>
      </w:pPr>
    </w:p>
    <w:p w:rsidR="006008D2" w:rsidP="000B2832">
      <w:pPr>
        <w:rPr>
          <w:b/>
          <w:bCs/>
          <w:sz w:val="22"/>
          <w:szCs w:val="20"/>
        </w:rPr>
      </w:pPr>
      <w:r w:rsidRPr="002A50A1">
        <w:rPr>
          <w:b/>
          <w:bCs/>
          <w:sz w:val="22"/>
          <w:szCs w:val="20"/>
        </w:rPr>
        <w:t>Neighbourhood health vision</w:t>
      </w:r>
      <w:r>
        <w:rPr>
          <w:b/>
          <w:bCs/>
          <w:sz w:val="22"/>
          <w:szCs w:val="20"/>
        </w:rPr>
        <w:t>:</w:t>
      </w:r>
    </w:p>
    <w:p w:rsidR="006008D2" w:rsidRPr="001051B7" w:rsidP="00E7529A">
      <w:pPr>
        <w:rPr>
          <w:sz w:val="22"/>
          <w:szCs w:val="20"/>
        </w:rPr>
      </w:pPr>
      <w:r w:rsidRPr="00FF3A33">
        <w:rPr>
          <w:sz w:val="22"/>
          <w:szCs w:val="20"/>
        </w:rPr>
        <w:t>GP</w:t>
      </w:r>
      <w:r>
        <w:rPr>
          <w:sz w:val="22"/>
          <w:szCs w:val="20"/>
        </w:rPr>
        <w:t xml:space="preserve">s are defined as </w:t>
      </w:r>
      <w:r w:rsidRPr="00FF3A33">
        <w:rPr>
          <w:sz w:val="22"/>
          <w:szCs w:val="20"/>
        </w:rPr>
        <w:t>consultant</w:t>
      </w:r>
      <w:r>
        <w:rPr>
          <w:sz w:val="22"/>
          <w:szCs w:val="20"/>
        </w:rPr>
        <w:t>s</w:t>
      </w:r>
      <w:r w:rsidRPr="00FF3A33">
        <w:rPr>
          <w:sz w:val="22"/>
          <w:szCs w:val="20"/>
        </w:rPr>
        <w:t xml:space="preserve"> in general practice</w:t>
      </w:r>
      <w:r>
        <w:rPr>
          <w:sz w:val="22"/>
          <w:szCs w:val="20"/>
        </w:rPr>
        <w:t>.</w:t>
      </w:r>
      <w:r>
        <w:rPr>
          <w:rStyle w:val="EndnoteReference"/>
          <w:sz w:val="22"/>
          <w:szCs w:val="20"/>
        </w:rPr>
        <w:endnoteReference w:id="3"/>
      </w:r>
      <w:r>
        <w:rPr>
          <w:sz w:val="22"/>
          <w:szCs w:val="20"/>
        </w:rPr>
        <w:t xml:space="preserve"> They have </w:t>
      </w:r>
      <w:r w:rsidRPr="00FF3A33">
        <w:rPr>
          <w:sz w:val="22"/>
          <w:szCs w:val="20"/>
        </w:rPr>
        <w:t>distinct expertise and experience in providing whole person medical care, managing the complexity, uncertainty and risk associated with the continuous care they provide</w:t>
      </w:r>
      <w:r>
        <w:rPr>
          <w:sz w:val="22"/>
          <w:szCs w:val="20"/>
        </w:rPr>
        <w:t xml:space="preserve">. </w:t>
      </w:r>
      <w:r w:rsidRPr="00865116">
        <w:rPr>
          <w:sz w:val="22"/>
          <w:szCs w:val="20"/>
        </w:rPr>
        <w:t xml:space="preserve">GPs work at the heart of their communities, striving to provide comprehensive and equitable care for everyone, </w:t>
      </w:r>
      <w:r w:rsidRPr="00865116">
        <w:rPr>
          <w:sz w:val="22"/>
          <w:szCs w:val="20"/>
        </w:rPr>
        <w:t>taking into account</w:t>
      </w:r>
      <w:r w:rsidRPr="00865116">
        <w:rPr>
          <w:sz w:val="22"/>
          <w:szCs w:val="20"/>
        </w:rPr>
        <w:t xml:space="preserve"> their health care needs, stage of life and background. </w:t>
      </w:r>
      <w:r w:rsidRPr="002F5101">
        <w:rPr>
          <w:sz w:val="22"/>
          <w:szCs w:val="20"/>
        </w:rPr>
        <w:t>GPs work in, connect with and lead multidisciplinary teams that care for people and their families, respecting the context in which they live, aiming to ens</w:t>
      </w:r>
      <w:r w:rsidRPr="002F5101">
        <w:rPr>
          <w:sz w:val="22"/>
          <w:szCs w:val="20"/>
        </w:rPr>
        <w:t xml:space="preserve">ure </w:t>
      </w:r>
      <w:r w:rsidRPr="002F5101">
        <w:rPr>
          <w:sz w:val="22"/>
          <w:szCs w:val="20"/>
        </w:rPr>
        <w:t>all of</w:t>
      </w:r>
      <w:r w:rsidRPr="002F5101">
        <w:rPr>
          <w:sz w:val="22"/>
          <w:szCs w:val="20"/>
        </w:rPr>
        <w:t xml:space="preserve"> their physical and mental health needs are met. However, these services are under immense pressure to meet the demands of an ageing and increasingly sicker </w:t>
      </w:r>
      <w:r w:rsidRPr="002F5101">
        <w:rPr>
          <w:sz w:val="22"/>
          <w:szCs w:val="20"/>
        </w:rPr>
        <w:t>population, and</w:t>
      </w:r>
      <w:r w:rsidRPr="002F5101">
        <w:rPr>
          <w:sz w:val="22"/>
          <w:szCs w:val="20"/>
        </w:rPr>
        <w:t xml:space="preserve"> lack the capacity to lead the 10YHP shifts without further support. GP </w:t>
      </w:r>
      <w:r>
        <w:rPr>
          <w:sz w:val="22"/>
          <w:szCs w:val="20"/>
        </w:rPr>
        <w:t>p</w:t>
      </w:r>
      <w:r w:rsidRPr="002F5101">
        <w:rPr>
          <w:sz w:val="22"/>
          <w:szCs w:val="20"/>
        </w:rPr>
        <w:t>remises are a major limiting factor to increasing capacity in general practice, and therefore increasing patient access</w:t>
      </w:r>
      <w:r>
        <w:rPr>
          <w:sz w:val="22"/>
          <w:szCs w:val="20"/>
        </w:rPr>
        <w:t xml:space="preserve">, </w:t>
      </w:r>
      <w:r>
        <w:rPr>
          <w:sz w:val="22"/>
          <w:szCs w:val="20"/>
        </w:rPr>
        <w:t>al</w:t>
      </w:r>
      <w:r>
        <w:rPr>
          <w:sz w:val="22"/>
          <w:szCs w:val="20"/>
        </w:rPr>
        <w:t>though they can also be an enabler</w:t>
      </w:r>
      <w:r w:rsidRPr="002F5101">
        <w:rPr>
          <w:sz w:val="22"/>
          <w:szCs w:val="20"/>
        </w:rPr>
        <w:t>.</w:t>
      </w:r>
      <w:r>
        <w:rPr>
          <w:sz w:val="22"/>
          <w:szCs w:val="20"/>
        </w:rPr>
        <w:t xml:space="preserve"> Neighbourhood health </w:t>
      </w:r>
      <w:r w:rsidRPr="007C5B18">
        <w:rPr>
          <w:sz w:val="22"/>
          <w:szCs w:val="20"/>
        </w:rPr>
        <w:t xml:space="preserve">expansion must be planned so it strengthens, rather than displaces, the role of individual practices, protecting </w:t>
      </w:r>
      <w:r>
        <w:rPr>
          <w:sz w:val="22"/>
          <w:szCs w:val="20"/>
        </w:rPr>
        <w:t>GPs</w:t>
      </w:r>
      <w:r w:rsidRPr="007C5B18">
        <w:rPr>
          <w:sz w:val="22"/>
          <w:szCs w:val="20"/>
        </w:rPr>
        <w:t xml:space="preserve"> ability to provide continuou</w:t>
      </w:r>
      <w:r>
        <w:rPr>
          <w:sz w:val="22"/>
          <w:szCs w:val="20"/>
        </w:rPr>
        <w:t>s care for registered patients</w:t>
      </w:r>
      <w:r w:rsidRPr="007C5B18">
        <w:rPr>
          <w:sz w:val="22"/>
          <w:szCs w:val="20"/>
        </w:rPr>
        <w:t xml:space="preserve">, manage </w:t>
      </w:r>
      <w:r>
        <w:rPr>
          <w:sz w:val="22"/>
          <w:szCs w:val="20"/>
        </w:rPr>
        <w:t>risk and long-term complex conditions as specialist generalists</w:t>
      </w:r>
      <w:r w:rsidRPr="007C5B18">
        <w:rPr>
          <w:sz w:val="22"/>
          <w:szCs w:val="20"/>
        </w:rPr>
        <w:t xml:space="preserve">, and train the future </w:t>
      </w:r>
      <w:r>
        <w:rPr>
          <w:sz w:val="22"/>
          <w:szCs w:val="20"/>
        </w:rPr>
        <w:t xml:space="preserve">GP </w:t>
      </w:r>
      <w:r w:rsidRPr="007C5B18">
        <w:rPr>
          <w:sz w:val="22"/>
          <w:szCs w:val="20"/>
        </w:rPr>
        <w:t xml:space="preserve">workforce while contributing to neighbourhood </w:t>
      </w:r>
      <w:r>
        <w:rPr>
          <w:sz w:val="22"/>
          <w:szCs w:val="20"/>
        </w:rPr>
        <w:t xml:space="preserve">health </w:t>
      </w:r>
      <w:r w:rsidRPr="007C5B18">
        <w:rPr>
          <w:sz w:val="22"/>
          <w:szCs w:val="20"/>
        </w:rPr>
        <w:t xml:space="preserve">where </w:t>
      </w:r>
      <w:r w:rsidRPr="007C5B18">
        <w:rPr>
          <w:sz w:val="22"/>
          <w:szCs w:val="20"/>
        </w:rPr>
        <w:t>they add value.</w:t>
      </w:r>
      <w:r>
        <w:rPr>
          <w:sz w:val="22"/>
          <w:szCs w:val="20"/>
        </w:rPr>
        <w:t xml:space="preserve"> </w:t>
      </w:r>
    </w:p>
    <w:p w:rsidR="006008D2" w:rsidP="000B2832">
      <w:pPr>
        <w:rPr>
          <w:sz w:val="22"/>
          <w:szCs w:val="20"/>
        </w:rPr>
      </w:pPr>
    </w:p>
    <w:p w:rsidR="006008D2" w:rsidP="000B2832">
      <w:pPr>
        <w:rPr>
          <w:sz w:val="22"/>
          <w:szCs w:val="20"/>
        </w:rPr>
      </w:pPr>
      <w:r w:rsidRPr="003679AA">
        <w:rPr>
          <w:sz w:val="22"/>
          <w:szCs w:val="20"/>
        </w:rPr>
        <w:t xml:space="preserve">The RCGP </w:t>
      </w:r>
      <w:r>
        <w:rPr>
          <w:sz w:val="22"/>
          <w:szCs w:val="20"/>
        </w:rPr>
        <w:t xml:space="preserve">has been </w:t>
      </w:r>
      <w:r>
        <w:rPr>
          <w:sz w:val="22"/>
          <w:szCs w:val="20"/>
        </w:rPr>
        <w:t xml:space="preserve">supportive of </w:t>
      </w:r>
      <w:r>
        <w:rPr>
          <w:sz w:val="22"/>
          <w:szCs w:val="20"/>
        </w:rPr>
        <w:t xml:space="preserve">the </w:t>
      </w:r>
      <w:r w:rsidRPr="00213290">
        <w:rPr>
          <w:sz w:val="22"/>
        </w:rPr>
        <w:t>concept of</w:t>
      </w:r>
      <w:r>
        <w:rPr>
          <w:sz w:val="22"/>
        </w:rPr>
        <w:t xml:space="preserve"> </w:t>
      </w:r>
      <w:r w:rsidRPr="00213290">
        <w:rPr>
          <w:sz w:val="22"/>
        </w:rPr>
        <w:t>neighbourhood health</w:t>
      </w:r>
      <w:r>
        <w:rPr>
          <w:sz w:val="22"/>
        </w:rPr>
        <w:t>, and</w:t>
      </w:r>
      <w:r w:rsidRPr="00213290">
        <w:rPr>
          <w:sz w:val="22"/>
        </w:rPr>
        <w:t xml:space="preserve"> </w:t>
      </w:r>
      <w:r w:rsidRPr="008750A6">
        <w:rPr>
          <w:sz w:val="22"/>
          <w:szCs w:val="20"/>
        </w:rPr>
        <w:t>Government's ambition</w:t>
      </w:r>
      <w:r>
        <w:rPr>
          <w:sz w:val="22"/>
          <w:szCs w:val="20"/>
        </w:rPr>
        <w:t xml:space="preserve">s </w:t>
      </w:r>
      <w:r w:rsidRPr="003679AA">
        <w:rPr>
          <w:sz w:val="22"/>
          <w:szCs w:val="20"/>
        </w:rPr>
        <w:t xml:space="preserve">to </w:t>
      </w:r>
      <w:r>
        <w:rPr>
          <w:sz w:val="22"/>
          <w:szCs w:val="20"/>
        </w:rPr>
        <w:t>deliver</w:t>
      </w:r>
      <w:r w:rsidRPr="003679AA">
        <w:rPr>
          <w:sz w:val="22"/>
          <w:szCs w:val="20"/>
        </w:rPr>
        <w:t xml:space="preserve"> more care into </w:t>
      </w:r>
      <w:r>
        <w:rPr>
          <w:sz w:val="22"/>
          <w:szCs w:val="20"/>
        </w:rPr>
        <w:t>the community</w:t>
      </w:r>
      <w:r>
        <w:rPr>
          <w:sz w:val="22"/>
          <w:szCs w:val="20"/>
        </w:rPr>
        <w:t>,</w:t>
      </w:r>
      <w:r w:rsidRPr="003679AA">
        <w:rPr>
          <w:sz w:val="22"/>
          <w:szCs w:val="20"/>
        </w:rPr>
        <w:t xml:space="preserve"> </w:t>
      </w:r>
      <w:r>
        <w:rPr>
          <w:sz w:val="22"/>
          <w:szCs w:val="20"/>
        </w:rPr>
        <w:t>strengthen digital technology</w:t>
      </w:r>
      <w:r>
        <w:rPr>
          <w:sz w:val="22"/>
          <w:szCs w:val="20"/>
        </w:rPr>
        <w:t xml:space="preserve">, </w:t>
      </w:r>
      <w:r>
        <w:rPr>
          <w:sz w:val="22"/>
          <w:szCs w:val="20"/>
        </w:rPr>
        <w:t xml:space="preserve">and </w:t>
      </w:r>
      <w:r>
        <w:rPr>
          <w:sz w:val="22"/>
          <w:szCs w:val="20"/>
        </w:rPr>
        <w:t>prevent illness</w:t>
      </w:r>
      <w:r>
        <w:rPr>
          <w:sz w:val="22"/>
          <w:szCs w:val="20"/>
        </w:rPr>
        <w:t xml:space="preserve">. </w:t>
      </w:r>
      <w:r>
        <w:rPr>
          <w:sz w:val="22"/>
        </w:rPr>
        <w:t>W</w:t>
      </w:r>
      <w:r w:rsidRPr="00213290">
        <w:rPr>
          <w:sz w:val="22"/>
        </w:rPr>
        <w:t>e</w:t>
      </w:r>
      <w:r>
        <w:rPr>
          <w:sz w:val="22"/>
        </w:rPr>
        <w:t xml:space="preserve"> ha</w:t>
      </w:r>
      <w:r w:rsidRPr="00213290">
        <w:rPr>
          <w:sz w:val="22"/>
        </w:rPr>
        <w:t xml:space="preserve">ve </w:t>
      </w:r>
      <w:r>
        <w:rPr>
          <w:sz w:val="22"/>
        </w:rPr>
        <w:t>also</w:t>
      </w:r>
      <w:r w:rsidRPr="00213290">
        <w:rPr>
          <w:sz w:val="22"/>
        </w:rPr>
        <w:t xml:space="preserve"> been clear th</w:t>
      </w:r>
      <w:r>
        <w:rPr>
          <w:sz w:val="22"/>
        </w:rPr>
        <w:t>ese</w:t>
      </w:r>
      <w:r w:rsidRPr="00213290">
        <w:rPr>
          <w:sz w:val="22"/>
        </w:rPr>
        <w:t xml:space="preserve"> shift</w:t>
      </w:r>
      <w:r>
        <w:rPr>
          <w:sz w:val="22"/>
        </w:rPr>
        <w:t>s</w:t>
      </w:r>
      <w:r w:rsidRPr="00213290">
        <w:rPr>
          <w:sz w:val="22"/>
        </w:rPr>
        <w:t xml:space="preserve"> </w:t>
      </w:r>
      <w:r w:rsidRPr="008750A6">
        <w:rPr>
          <w:sz w:val="22"/>
          <w:szCs w:val="20"/>
        </w:rPr>
        <w:t xml:space="preserve">rely on a properly resourced general practice with adequate </w:t>
      </w:r>
      <w:r>
        <w:rPr>
          <w:sz w:val="22"/>
          <w:szCs w:val="20"/>
        </w:rPr>
        <w:t xml:space="preserve">infrastructure, </w:t>
      </w:r>
      <w:r w:rsidRPr="00213290">
        <w:rPr>
          <w:sz w:val="22"/>
        </w:rPr>
        <w:t xml:space="preserve">and it’s concerning that current proposals to roll </w:t>
      </w:r>
      <w:r>
        <w:rPr>
          <w:sz w:val="22"/>
        </w:rPr>
        <w:t>neighbourhood health</w:t>
      </w:r>
      <w:r w:rsidRPr="00213290">
        <w:rPr>
          <w:sz w:val="22"/>
        </w:rPr>
        <w:t xml:space="preserve"> out across the country</w:t>
      </w:r>
      <w:r w:rsidRPr="00213290">
        <w:rPr>
          <w:sz w:val="22"/>
          <w:szCs w:val="20"/>
        </w:rPr>
        <w:t xml:space="preserve"> </w:t>
      </w:r>
      <w:r>
        <w:rPr>
          <w:sz w:val="22"/>
        </w:rPr>
        <w:t>still</w:t>
      </w:r>
      <w:r w:rsidRPr="00213290">
        <w:rPr>
          <w:sz w:val="22"/>
          <w:szCs w:val="20"/>
        </w:rPr>
        <w:t xml:space="preserve"> </w:t>
      </w:r>
      <w:r>
        <w:rPr>
          <w:sz w:val="22"/>
          <w:szCs w:val="20"/>
        </w:rPr>
        <w:t xml:space="preserve">lack </w:t>
      </w:r>
      <w:r>
        <w:rPr>
          <w:sz w:val="22"/>
          <w:szCs w:val="20"/>
        </w:rPr>
        <w:t xml:space="preserve">the clarity </w:t>
      </w:r>
      <w:r>
        <w:rPr>
          <w:sz w:val="22"/>
          <w:szCs w:val="20"/>
        </w:rPr>
        <w:t>and</w:t>
      </w:r>
      <w:r w:rsidRPr="00213290">
        <w:rPr>
          <w:sz w:val="22"/>
          <w:szCs w:val="20"/>
        </w:rPr>
        <w:t xml:space="preserve"> </w:t>
      </w:r>
      <w:r>
        <w:rPr>
          <w:sz w:val="22"/>
          <w:szCs w:val="20"/>
        </w:rPr>
        <w:t xml:space="preserve">the </w:t>
      </w:r>
      <w:r w:rsidRPr="00213290">
        <w:rPr>
          <w:sz w:val="22"/>
          <w:szCs w:val="20"/>
        </w:rPr>
        <w:t>significant investment</w:t>
      </w:r>
      <w:r>
        <w:rPr>
          <w:sz w:val="22"/>
          <w:szCs w:val="20"/>
        </w:rPr>
        <w:t xml:space="preserve"> required</w:t>
      </w:r>
      <w:r w:rsidRPr="00213290">
        <w:rPr>
          <w:sz w:val="22"/>
          <w:szCs w:val="20"/>
        </w:rPr>
        <w:t>. We are keen to see how the pilots progress</w:t>
      </w:r>
      <w:r>
        <w:rPr>
          <w:sz w:val="22"/>
          <w:szCs w:val="20"/>
        </w:rPr>
        <w:t>,</w:t>
      </w:r>
      <w:r w:rsidRPr="00213290">
        <w:rPr>
          <w:sz w:val="22"/>
          <w:szCs w:val="20"/>
        </w:rPr>
        <w:t xml:space="preserve"> and evaluation of these will be key.</w:t>
      </w:r>
      <w:r>
        <w:rPr>
          <w:sz w:val="22"/>
          <w:szCs w:val="20"/>
        </w:rPr>
        <w:t xml:space="preserve"> </w:t>
      </w:r>
    </w:p>
    <w:p w:rsidR="006008D2" w:rsidP="000B2832">
      <w:pPr>
        <w:rPr>
          <w:sz w:val="22"/>
          <w:szCs w:val="20"/>
        </w:rPr>
      </w:pPr>
    </w:p>
    <w:p w:rsidR="006008D2" w:rsidP="00EE5C78">
      <w:pPr>
        <w:rPr>
          <w:sz w:val="22"/>
          <w:szCs w:val="20"/>
        </w:rPr>
      </w:pPr>
      <w:r w:rsidRPr="00907A1D">
        <w:rPr>
          <w:sz w:val="22"/>
          <w:szCs w:val="20"/>
        </w:rPr>
        <w:t xml:space="preserve">To deliver a Neighbourhood Health Service and the three shifts set out in the 10YHP, the NHS estate must support modern, multidisciplinary, </w:t>
      </w:r>
      <w:r w:rsidRPr="00907A1D">
        <w:rPr>
          <w:sz w:val="22"/>
          <w:szCs w:val="20"/>
        </w:rPr>
        <w:t>team based</w:t>
      </w:r>
      <w:r w:rsidRPr="00907A1D">
        <w:rPr>
          <w:sz w:val="22"/>
          <w:szCs w:val="20"/>
        </w:rPr>
        <w:t xml:space="preserve"> care, with sufficient clinical and non-clinical space, digital connectivity, flexibility to adapt over time, backed by adequate resources. For general practice, this means sustainable and fit for purpose premises that support equitable access for patients, and enabl</w:t>
      </w:r>
      <w:r>
        <w:rPr>
          <w:sz w:val="22"/>
          <w:szCs w:val="20"/>
        </w:rPr>
        <w:t>ing</w:t>
      </w:r>
      <w:r w:rsidRPr="00907A1D">
        <w:rPr>
          <w:sz w:val="22"/>
          <w:szCs w:val="20"/>
        </w:rPr>
        <w:t xml:space="preserve"> co location with community services where it adds value, without transferring estate risk or inflexible costs onto GP partners.</w:t>
      </w:r>
      <w:r>
        <w:rPr>
          <w:sz w:val="22"/>
          <w:szCs w:val="20"/>
        </w:rPr>
        <w:t xml:space="preserve"> </w:t>
      </w:r>
    </w:p>
    <w:p w:rsidR="006008D2" w:rsidP="00EE5C78">
      <w:pPr>
        <w:rPr>
          <w:b/>
          <w:bCs/>
          <w:sz w:val="22"/>
          <w:szCs w:val="20"/>
        </w:rPr>
      </w:pPr>
    </w:p>
    <w:p w:rsidR="006008D2" w:rsidP="000B2832">
      <w:pPr>
        <w:rPr>
          <w:b/>
          <w:bCs/>
          <w:sz w:val="22"/>
          <w:szCs w:val="20"/>
        </w:rPr>
      </w:pPr>
      <w:r>
        <w:rPr>
          <w:b/>
          <w:bCs/>
          <w:sz w:val="22"/>
          <w:szCs w:val="20"/>
        </w:rPr>
        <w:t>Current estates challenges:</w:t>
      </w:r>
    </w:p>
    <w:p w:rsidR="006008D2" w:rsidP="00696FB0">
      <w:pPr>
        <w:rPr>
          <w:sz w:val="22"/>
        </w:rPr>
      </w:pPr>
      <w:r w:rsidRPr="000B2832">
        <w:rPr>
          <w:sz w:val="22"/>
        </w:rPr>
        <w:t xml:space="preserve">The </w:t>
      </w:r>
      <w:r>
        <w:fldChar w:fldCharType="begin"/>
      </w:r>
      <w:r>
        <w:instrText xml:space="preserve"> HYPERLINK "https://www.england.nhs.uk/wp-content/uploads/2023/06/nhs-long-term-workforce-plan-v1.2.pdf" </w:instrText>
      </w:r>
      <w:r>
        <w:fldChar w:fldCharType="separate"/>
      </w:r>
      <w:r w:rsidRPr="0000753A">
        <w:rPr>
          <w:rStyle w:val="Hyperlink"/>
          <w:sz w:val="22"/>
        </w:rPr>
        <w:t>2023 NHS Long Term Workforce Plan</w:t>
      </w:r>
      <w:r>
        <w:fldChar w:fldCharType="end"/>
      </w:r>
      <w:r w:rsidRPr="000B2832">
        <w:rPr>
          <w:sz w:val="22"/>
        </w:rPr>
        <w:t xml:space="preserve"> </w:t>
      </w:r>
      <w:r>
        <w:rPr>
          <w:sz w:val="22"/>
        </w:rPr>
        <w:t xml:space="preserve">said that </w:t>
      </w:r>
      <w:r>
        <w:rPr>
          <w:sz w:val="22"/>
        </w:rPr>
        <w:t xml:space="preserve">workforce expansion could only happen with investment in </w:t>
      </w:r>
      <w:r>
        <w:rPr>
          <w:sz w:val="22"/>
        </w:rPr>
        <w:t xml:space="preserve">primary care </w:t>
      </w:r>
      <w:r>
        <w:rPr>
          <w:sz w:val="22"/>
        </w:rPr>
        <w:t>estate</w:t>
      </w:r>
      <w:r>
        <w:rPr>
          <w:sz w:val="22"/>
        </w:rPr>
        <w:t xml:space="preserve"> but went on to say that</w:t>
      </w:r>
      <w:r w:rsidRPr="000B2832">
        <w:rPr>
          <w:sz w:val="22"/>
        </w:rPr>
        <w:t xml:space="preserve"> how </w:t>
      </w:r>
      <w:r>
        <w:rPr>
          <w:sz w:val="22"/>
        </w:rPr>
        <w:t xml:space="preserve">this </w:t>
      </w:r>
      <w:r>
        <w:rPr>
          <w:sz w:val="22"/>
        </w:rPr>
        <w:t>c</w:t>
      </w:r>
      <w:r>
        <w:rPr>
          <w:sz w:val="22"/>
        </w:rPr>
        <w:t>ould be achieved was</w:t>
      </w:r>
      <w:r>
        <w:rPr>
          <w:sz w:val="22"/>
        </w:rPr>
        <w:t xml:space="preserve"> out of scope.</w:t>
      </w:r>
      <w:r>
        <w:rPr>
          <w:sz w:val="22"/>
        </w:rPr>
        <w:t xml:space="preserve"> </w:t>
      </w:r>
      <w:r>
        <w:rPr>
          <w:sz w:val="22"/>
        </w:rPr>
        <w:t>Since then</w:t>
      </w:r>
      <w:r>
        <w:rPr>
          <w:sz w:val="22"/>
        </w:rPr>
        <w:t>,</w:t>
      </w:r>
      <w:r>
        <w:rPr>
          <w:sz w:val="22"/>
        </w:rPr>
        <w:t xml:space="preserve"> we have heard very little from</w:t>
      </w:r>
      <w:r w:rsidRPr="000B2832">
        <w:rPr>
          <w:sz w:val="22"/>
        </w:rPr>
        <w:t xml:space="preserve"> NHS England </w:t>
      </w:r>
      <w:r>
        <w:rPr>
          <w:sz w:val="22"/>
        </w:rPr>
        <w:t>(NHSE)</w:t>
      </w:r>
      <w:r w:rsidRPr="000B2832">
        <w:rPr>
          <w:sz w:val="22"/>
        </w:rPr>
        <w:t xml:space="preserve"> </w:t>
      </w:r>
      <w:r>
        <w:rPr>
          <w:sz w:val="22"/>
        </w:rPr>
        <w:t>on how they</w:t>
      </w:r>
      <w:r w:rsidRPr="000B2832">
        <w:rPr>
          <w:sz w:val="22"/>
        </w:rPr>
        <w:t xml:space="preserve"> plan to address capacity issues, including physical and trainer capacity, or on the costs associated with tackling these issues.</w:t>
      </w:r>
      <w:r>
        <w:rPr>
          <w:rStyle w:val="EndnoteReference"/>
          <w:sz w:val="22"/>
        </w:rPr>
        <w:endnoteReference w:id="4"/>
      </w:r>
      <w:r w:rsidRPr="000B2832">
        <w:rPr>
          <w:sz w:val="22"/>
        </w:rPr>
        <w:t xml:space="preserve"> </w:t>
      </w:r>
    </w:p>
    <w:p w:rsidR="006008D2" w:rsidP="00696FB0">
      <w:pPr>
        <w:rPr>
          <w:sz w:val="22"/>
        </w:rPr>
      </w:pPr>
    </w:p>
    <w:p w:rsidR="006008D2" w:rsidRPr="000B2832" w:rsidP="00696FB0">
      <w:pPr>
        <w:rPr>
          <w:sz w:val="22"/>
        </w:rPr>
      </w:pPr>
      <w:r w:rsidRPr="000B2832">
        <w:rPr>
          <w:sz w:val="22"/>
        </w:rPr>
        <w:t xml:space="preserve">To accommodate the much-needed increase in GP training places, it is vital that funding is provided for training practices to ensure there is sufficient physical space as well as GP trainer capacity.  In May 2023, the RCGP published a </w:t>
      </w:r>
      <w:r>
        <w:fldChar w:fldCharType="begin"/>
      </w:r>
      <w:r>
        <w:instrText xml:space="preserve"> HYPERLINK "https://www.rcgp.org.uk/getmedia/2aa7365f-ef3e-4262-aabc-6e73bcd2656f/infrastructure-report-may-2023.pdf" </w:instrText>
      </w:r>
      <w:r>
        <w:fldChar w:fldCharType="separate"/>
      </w:r>
      <w:r w:rsidRPr="000B2832">
        <w:rPr>
          <w:rStyle w:val="Hyperlink"/>
          <w:sz w:val="22"/>
        </w:rPr>
        <w:t>report on infrastructure in general practice</w:t>
      </w:r>
      <w:r>
        <w:fldChar w:fldCharType="end"/>
      </w:r>
      <w:r w:rsidRPr="000B2832">
        <w:rPr>
          <w:sz w:val="22"/>
        </w:rPr>
        <w:t>, which highlighted the inadequacy of general practice premises and digital infrastructure, including limited physical space, inadequate capacity to host multidisciplinary teams or receive new registrars, deficient IT infrastructure and poor building energy efficiency.</w:t>
      </w:r>
      <w:r>
        <w:rPr>
          <w:rStyle w:val="EndnoteReference"/>
          <w:sz w:val="22"/>
        </w:rPr>
        <w:endnoteReference w:id="5"/>
      </w:r>
      <w:r w:rsidRPr="000B2832">
        <w:rPr>
          <w:sz w:val="22"/>
        </w:rPr>
        <w:t xml:space="preserve"> </w:t>
      </w:r>
    </w:p>
    <w:p w:rsidR="006008D2" w:rsidRPr="000B2832" w:rsidP="00696FB0">
      <w:pPr>
        <w:rPr>
          <w:sz w:val="22"/>
        </w:rPr>
      </w:pPr>
    </w:p>
    <w:p w:rsidR="006008D2" w:rsidP="00696FB0">
      <w:pPr>
        <w:rPr>
          <w:sz w:val="22"/>
        </w:rPr>
      </w:pPr>
      <w:r>
        <w:rPr>
          <w:sz w:val="22"/>
        </w:rPr>
        <w:t>Our DHSC’s</w:t>
      </w:r>
      <w:r w:rsidRPr="007313B0">
        <w:rPr>
          <w:sz w:val="22"/>
        </w:rPr>
        <w:t xml:space="preserve"> 10 Year Workforce Plan call for evidence</w:t>
      </w:r>
      <w:r>
        <w:rPr>
          <w:sz w:val="22"/>
        </w:rPr>
        <w:t xml:space="preserve"> submission highlighted how these problems have persisted, with r</w:t>
      </w:r>
      <w:r w:rsidRPr="003F46F0">
        <w:rPr>
          <w:sz w:val="22"/>
        </w:rPr>
        <w:t xml:space="preserve">ecent </w:t>
      </w:r>
      <w:r>
        <w:rPr>
          <w:sz w:val="22"/>
        </w:rPr>
        <w:t xml:space="preserve">not-yet-published </w:t>
      </w:r>
      <w:r w:rsidRPr="003F46F0">
        <w:rPr>
          <w:sz w:val="22"/>
        </w:rPr>
        <w:t>statistics enforc</w:t>
      </w:r>
      <w:r>
        <w:rPr>
          <w:sz w:val="22"/>
        </w:rPr>
        <w:t>ing</w:t>
      </w:r>
      <w:r w:rsidRPr="003F46F0">
        <w:rPr>
          <w:sz w:val="22"/>
        </w:rPr>
        <w:t xml:space="preserve"> these concerns:</w:t>
      </w:r>
      <w:r>
        <w:rPr>
          <w:rStyle w:val="EndnoteReference"/>
          <w:sz w:val="22"/>
        </w:rPr>
        <w:endnoteReference w:id="6"/>
      </w:r>
    </w:p>
    <w:p w:rsidR="006008D2" w:rsidRPr="00FB650C" w:rsidP="00696FB0">
      <w:pPr>
        <w:pStyle w:val="ListParagraph"/>
        <w:numPr>
          <w:ilvl w:val="0"/>
          <w:numId w:val="5"/>
        </w:numPr>
        <w:rPr>
          <w:sz w:val="22"/>
        </w:rPr>
      </w:pPr>
      <w:r w:rsidRPr="00FB650C">
        <w:rPr>
          <w:sz w:val="22"/>
        </w:rPr>
        <w:t xml:space="preserve">Our 2025 survey of around 500 practice managers found that almost three quarters of respondents (74%) agreed that a lack of physical space was preventing their practice from recruiting more GPs. </w:t>
      </w:r>
    </w:p>
    <w:p w:rsidR="006008D2" w:rsidP="00696FB0">
      <w:pPr>
        <w:pStyle w:val="ListParagraph"/>
        <w:numPr>
          <w:ilvl w:val="0"/>
          <w:numId w:val="5"/>
        </w:numPr>
        <w:rPr>
          <w:sz w:val="22"/>
        </w:rPr>
      </w:pPr>
      <w:r w:rsidRPr="000B2832">
        <w:rPr>
          <w:sz w:val="22"/>
        </w:rPr>
        <w:t>Our 2025 GP Voice survey of over 2,000 GPs found that 30% of practising GPs considered their practice building unfit for purpose.</w:t>
      </w:r>
    </w:p>
    <w:p w:rsidR="006008D2" w:rsidP="001F7CE8">
      <w:pPr>
        <w:pStyle w:val="ListParagraph"/>
        <w:rPr>
          <w:sz w:val="22"/>
        </w:rPr>
      </w:pPr>
    </w:p>
    <w:p w:rsidR="006008D2" w:rsidP="00696FB0">
      <w:pPr>
        <w:rPr>
          <w:sz w:val="22"/>
        </w:rPr>
      </w:pPr>
      <w:r w:rsidRPr="00173136">
        <w:rPr>
          <w:sz w:val="22"/>
        </w:rPr>
        <w:t>The BMA’s 2025 GP premises survey found 50% of respondents reported premises not suitable for present needs, 83% not suitable for future needs, and 74% lacking training space for new GPs.</w:t>
      </w:r>
      <w:r>
        <w:rPr>
          <w:rStyle w:val="EndnoteReference"/>
          <w:sz w:val="22"/>
        </w:rPr>
        <w:endnoteReference w:id="7"/>
      </w:r>
    </w:p>
    <w:p w:rsidR="006008D2" w:rsidP="00696FB0">
      <w:pPr>
        <w:rPr>
          <w:sz w:val="22"/>
        </w:rPr>
      </w:pPr>
      <w:r>
        <w:rPr>
          <w:sz w:val="22"/>
        </w:rPr>
        <w:t xml:space="preserve">As highlighted above, NHSE are yet to publish a consolidated picture of the current primary care estate, though </w:t>
      </w:r>
      <w:r w:rsidRPr="00BA3CC8">
        <w:rPr>
          <w:sz w:val="22"/>
        </w:rPr>
        <w:t>report</w:t>
      </w:r>
      <w:r>
        <w:rPr>
          <w:sz w:val="22"/>
        </w:rPr>
        <w:t>s</w:t>
      </w:r>
      <w:r w:rsidRPr="00BA3CC8">
        <w:rPr>
          <w:sz w:val="22"/>
        </w:rPr>
        <w:t xml:space="preserve"> we have identified from individual ICBs and ICSs</w:t>
      </w:r>
      <w:r>
        <w:rPr>
          <w:sz w:val="22"/>
        </w:rPr>
        <w:t xml:space="preserve"> indicate a significant crisis: </w:t>
      </w:r>
    </w:p>
    <w:p w:rsidR="006008D2" w:rsidRPr="00BA3CC8" w:rsidP="00696FB0">
      <w:pPr>
        <w:pStyle w:val="ListParagraph"/>
        <w:numPr>
          <w:ilvl w:val="0"/>
          <w:numId w:val="5"/>
        </w:numPr>
        <w:rPr>
          <w:sz w:val="22"/>
        </w:rPr>
      </w:pPr>
      <w:r w:rsidRPr="00BA3CC8">
        <w:rPr>
          <w:sz w:val="22"/>
        </w:rPr>
        <w:t>“</w:t>
      </w:r>
      <w:r w:rsidRPr="00BA3CC8">
        <w:rPr>
          <w:i/>
          <w:iCs/>
          <w:sz w:val="22"/>
        </w:rPr>
        <w:t>Our Primary care and Community care estate is aging and significantly undersized. It also requires additional action on backlog maintenance and re-placement of over £0.5bn. Investment in training and learning space is also required to support the ambitious workforce recruitment and training plans we require to maintain clinical capacity to serve our patients</w:t>
      </w:r>
      <w:r>
        <w:rPr>
          <w:i/>
          <w:iCs/>
          <w:sz w:val="22"/>
        </w:rPr>
        <w:t>”</w:t>
      </w:r>
      <w:r w:rsidRPr="00BA3CC8">
        <w:rPr>
          <w:i/>
          <w:iCs/>
          <w:sz w:val="22"/>
        </w:rPr>
        <w:t xml:space="preserve"> </w:t>
      </w:r>
      <w:r w:rsidRPr="00BA3CC8">
        <w:rPr>
          <w:sz w:val="22"/>
        </w:rPr>
        <w:t>(</w:t>
      </w:r>
      <w:r w:rsidRPr="00BA3CC8">
        <w:rPr>
          <w:sz w:val="22"/>
        </w:rPr>
        <w:t>North East</w:t>
      </w:r>
      <w:r w:rsidRPr="00BA3CC8">
        <w:rPr>
          <w:sz w:val="22"/>
        </w:rPr>
        <w:t xml:space="preserve"> and North Cumbria (NENC) ICB Infrastructure Strategy 2024).</w:t>
      </w:r>
      <w:r>
        <w:rPr>
          <w:rStyle w:val="EndnoteReference"/>
          <w:sz w:val="22"/>
        </w:rPr>
        <w:endnoteReference w:id="8"/>
      </w:r>
    </w:p>
    <w:p w:rsidR="006008D2" w:rsidRPr="00BA3CC8" w:rsidP="00696FB0">
      <w:pPr>
        <w:pStyle w:val="ListParagraph"/>
        <w:numPr>
          <w:ilvl w:val="0"/>
          <w:numId w:val="5"/>
        </w:numPr>
        <w:rPr>
          <w:i/>
          <w:iCs/>
          <w:sz w:val="22"/>
        </w:rPr>
      </w:pPr>
      <w:r w:rsidRPr="00BA3CC8">
        <w:rPr>
          <w:i/>
          <w:iCs/>
          <w:sz w:val="22"/>
        </w:rPr>
        <w:t>“</w:t>
      </w:r>
      <w:r w:rsidRPr="00B045EC">
        <w:rPr>
          <w:i/>
          <w:iCs/>
          <w:sz w:val="22"/>
        </w:rPr>
        <w:t xml:space="preserve">Our community and primary care infrastructure support has been </w:t>
      </w:r>
      <w:r w:rsidRPr="00B045EC">
        <w:rPr>
          <w:i/>
          <w:iCs/>
          <w:sz w:val="22"/>
        </w:rPr>
        <w:t>decimated</w:t>
      </w:r>
      <w:r w:rsidRPr="00B045EC">
        <w:rPr>
          <w:i/>
          <w:iCs/>
          <w:sz w:val="22"/>
        </w:rPr>
        <w:t xml:space="preserve"> and we are spreading resource more thinly than ever before. Many GP practices are lacking infrastructure resource and </w:t>
      </w:r>
      <w:r w:rsidRPr="00B045EC">
        <w:rPr>
          <w:i/>
          <w:iCs/>
          <w:sz w:val="22"/>
        </w:rPr>
        <w:t>skills</w:t>
      </w:r>
      <w:r w:rsidRPr="00B045EC">
        <w:rPr>
          <w:i/>
          <w:iCs/>
          <w:sz w:val="22"/>
        </w:rPr>
        <w:t xml:space="preserve"> and this is often widening the primary care premises quality gap</w:t>
      </w:r>
      <w:r>
        <w:rPr>
          <w:i/>
          <w:iCs/>
          <w:sz w:val="22"/>
        </w:rPr>
        <w:t xml:space="preserve">” </w:t>
      </w:r>
      <w:r w:rsidRPr="00BA3CC8">
        <w:rPr>
          <w:sz w:val="22"/>
        </w:rPr>
        <w:t>(L&amp;SC Infrastructure Strategy 2023-2040)</w:t>
      </w:r>
      <w:r>
        <w:rPr>
          <w:sz w:val="22"/>
        </w:rPr>
        <w:t>.</w:t>
      </w:r>
      <w:r>
        <w:rPr>
          <w:rStyle w:val="EndnoteReference"/>
          <w:sz w:val="22"/>
        </w:rPr>
        <w:endnoteReference w:id="9"/>
      </w:r>
    </w:p>
    <w:p w:rsidR="006008D2" w:rsidRPr="00FE173F" w:rsidP="00696FB0">
      <w:pPr>
        <w:pStyle w:val="ListParagraph"/>
        <w:numPr>
          <w:ilvl w:val="0"/>
          <w:numId w:val="5"/>
        </w:numPr>
        <w:rPr>
          <w:i/>
          <w:iCs/>
          <w:sz w:val="22"/>
        </w:rPr>
      </w:pPr>
      <w:r w:rsidRPr="00FE173F">
        <w:rPr>
          <w:i/>
          <w:iCs/>
          <w:sz w:val="22"/>
        </w:rPr>
        <w:t xml:space="preserve">"There are challenges within primary care premises to offer community and secondary care services, thereby impacting the provision of integrated care. Much of the primary care premises in many places are not fit for purpose for current delivery or for implementing </w:t>
      </w:r>
      <w:r w:rsidRPr="00FE173F">
        <w:rPr>
          <w:i/>
          <w:iCs/>
          <w:sz w:val="22"/>
        </w:rPr>
        <w:t>future plans</w:t>
      </w:r>
      <w:r w:rsidRPr="00FE173F">
        <w:rPr>
          <w:sz w:val="22"/>
        </w:rPr>
        <w:t>" (Somerset ICS Infrastructure Strategy</w:t>
      </w:r>
      <w:r>
        <w:rPr>
          <w:sz w:val="22"/>
        </w:rPr>
        <w:t xml:space="preserve"> 2024</w:t>
      </w:r>
      <w:r w:rsidRPr="00FE173F">
        <w:rPr>
          <w:sz w:val="22"/>
        </w:rPr>
        <w:t>).</w:t>
      </w:r>
      <w:r>
        <w:rPr>
          <w:rStyle w:val="EndnoteReference"/>
          <w:sz w:val="22"/>
        </w:rPr>
        <w:endnoteReference w:id="10"/>
      </w:r>
      <w:r w:rsidRPr="00FE173F">
        <w:rPr>
          <w:sz w:val="22"/>
        </w:rPr>
        <w:t xml:space="preserve"> </w:t>
      </w:r>
    </w:p>
    <w:p w:rsidR="006008D2" w:rsidP="000B2832">
      <w:pPr>
        <w:rPr>
          <w:b/>
          <w:bCs/>
          <w:sz w:val="22"/>
          <w:szCs w:val="20"/>
        </w:rPr>
      </w:pPr>
    </w:p>
    <w:p w:rsidR="006008D2" w:rsidRPr="00220B7E" w:rsidP="000B2832">
      <w:pPr>
        <w:rPr>
          <w:b/>
          <w:bCs/>
          <w:sz w:val="22"/>
          <w:szCs w:val="20"/>
        </w:rPr>
      </w:pPr>
      <w:r w:rsidRPr="000A3FD8">
        <w:rPr>
          <w:b/>
          <w:bCs/>
          <w:sz w:val="22"/>
          <w:szCs w:val="20"/>
        </w:rPr>
        <w:t>Improvement</w:t>
      </w:r>
      <w:r>
        <w:rPr>
          <w:b/>
          <w:bCs/>
          <w:sz w:val="22"/>
          <w:szCs w:val="20"/>
        </w:rPr>
        <w:t>s</w:t>
      </w:r>
      <w:r w:rsidRPr="000A3FD8">
        <w:rPr>
          <w:b/>
          <w:bCs/>
          <w:sz w:val="22"/>
          <w:szCs w:val="20"/>
        </w:rPr>
        <w:t xml:space="preserve"> needed to deliver neighbourhood health</w:t>
      </w:r>
      <w:r>
        <w:rPr>
          <w:b/>
          <w:bCs/>
          <w:sz w:val="22"/>
          <w:szCs w:val="20"/>
        </w:rPr>
        <w:t>:</w:t>
      </w:r>
    </w:p>
    <w:p w:rsidR="006008D2" w:rsidP="0037617B">
      <w:pPr>
        <w:rPr>
          <w:sz w:val="22"/>
          <w:szCs w:val="20"/>
        </w:rPr>
      </w:pPr>
      <w:r>
        <w:rPr>
          <w:sz w:val="22"/>
          <w:szCs w:val="20"/>
        </w:rPr>
        <w:t>I</w:t>
      </w:r>
      <w:r w:rsidRPr="00C41808">
        <w:rPr>
          <w:sz w:val="22"/>
          <w:szCs w:val="20"/>
        </w:rPr>
        <w:t xml:space="preserve">nvestment </w:t>
      </w:r>
      <w:r>
        <w:rPr>
          <w:sz w:val="22"/>
          <w:szCs w:val="20"/>
        </w:rPr>
        <w:t xml:space="preserve">is </w:t>
      </w:r>
      <w:r w:rsidRPr="00C41808">
        <w:rPr>
          <w:sz w:val="22"/>
          <w:szCs w:val="20"/>
        </w:rPr>
        <w:t>urgently needed to fix GP premises and infrastructure, as well as to enable services to work together under one neighbourhood centre roof</w:t>
      </w:r>
      <w:r>
        <w:rPr>
          <w:sz w:val="22"/>
          <w:szCs w:val="20"/>
        </w:rPr>
        <w:t xml:space="preserve"> - in</w:t>
      </w:r>
      <w:r w:rsidRPr="00355282">
        <w:rPr>
          <w:sz w:val="22"/>
          <w:szCs w:val="20"/>
        </w:rPr>
        <w:t xml:space="preserve">vestment must cover both backlog improvement and </w:t>
      </w:r>
      <w:r>
        <w:rPr>
          <w:sz w:val="22"/>
          <w:szCs w:val="20"/>
        </w:rPr>
        <w:t>expansion to meet 10YH</w:t>
      </w:r>
      <w:r>
        <w:rPr>
          <w:sz w:val="22"/>
          <w:szCs w:val="20"/>
        </w:rPr>
        <w:t>P</w:t>
      </w:r>
      <w:r>
        <w:rPr>
          <w:sz w:val="22"/>
          <w:szCs w:val="20"/>
        </w:rPr>
        <w:t xml:space="preserve"> ambitions</w:t>
      </w:r>
      <w:r w:rsidRPr="00C41808">
        <w:rPr>
          <w:sz w:val="22"/>
          <w:szCs w:val="20"/>
        </w:rPr>
        <w:t xml:space="preserve">. </w:t>
      </w:r>
      <w:r w:rsidRPr="00C41808">
        <w:rPr>
          <w:sz w:val="22"/>
          <w:szCs w:val="20"/>
        </w:rPr>
        <w:t>This must anticipate the move towards neighbourhood hubs and integrated care</w:t>
      </w:r>
      <w:r>
        <w:rPr>
          <w:sz w:val="22"/>
          <w:szCs w:val="20"/>
        </w:rPr>
        <w:t xml:space="preserve">, </w:t>
      </w:r>
      <w:r w:rsidRPr="00611BEF">
        <w:rPr>
          <w:sz w:val="22"/>
          <w:szCs w:val="20"/>
        </w:rPr>
        <w:t>as care shifts from hospitals into the community</w:t>
      </w:r>
      <w:r w:rsidRPr="00C41808">
        <w:rPr>
          <w:sz w:val="22"/>
          <w:szCs w:val="20"/>
        </w:rPr>
        <w:t xml:space="preserve">, ensuring shared facilities are fit for purpose while maintaining the capacity of individual practices to train and deliver care effectively. </w:t>
      </w:r>
      <w:r>
        <w:rPr>
          <w:sz w:val="22"/>
          <w:szCs w:val="20"/>
        </w:rPr>
        <w:t>M</w:t>
      </w:r>
      <w:r w:rsidRPr="007C5B18">
        <w:rPr>
          <w:sz w:val="22"/>
          <w:szCs w:val="20"/>
        </w:rPr>
        <w:t>any buildings ar</w:t>
      </w:r>
      <w:r w:rsidRPr="007C5B18">
        <w:rPr>
          <w:sz w:val="22"/>
          <w:szCs w:val="20"/>
        </w:rPr>
        <w:t xml:space="preserve">e </w:t>
      </w:r>
      <w:r>
        <w:rPr>
          <w:sz w:val="22"/>
          <w:szCs w:val="20"/>
        </w:rPr>
        <w:t xml:space="preserve">already </w:t>
      </w:r>
      <w:r w:rsidRPr="007C5B18">
        <w:rPr>
          <w:sz w:val="22"/>
          <w:szCs w:val="20"/>
        </w:rPr>
        <w:t xml:space="preserve">in poor condition and lack the space and facilities required to </w:t>
      </w:r>
      <w:r>
        <w:rPr>
          <w:sz w:val="22"/>
          <w:szCs w:val="20"/>
        </w:rPr>
        <w:t xml:space="preserve">meet current </w:t>
      </w:r>
      <w:r>
        <w:rPr>
          <w:sz w:val="22"/>
          <w:szCs w:val="20"/>
        </w:rPr>
        <w:t xml:space="preserve">service </w:t>
      </w:r>
      <w:r>
        <w:rPr>
          <w:sz w:val="22"/>
          <w:szCs w:val="20"/>
        </w:rPr>
        <w:t xml:space="preserve">demands </w:t>
      </w:r>
      <w:r w:rsidRPr="007C5B18">
        <w:rPr>
          <w:sz w:val="22"/>
          <w:szCs w:val="20"/>
        </w:rPr>
        <w:t>safely and efficiently</w:t>
      </w:r>
      <w:r>
        <w:rPr>
          <w:sz w:val="22"/>
          <w:szCs w:val="20"/>
        </w:rPr>
        <w:t xml:space="preserve">. </w:t>
      </w:r>
      <w:r w:rsidRPr="00C41808">
        <w:rPr>
          <w:sz w:val="22"/>
          <w:szCs w:val="20"/>
        </w:rPr>
        <w:t xml:space="preserve">Investment in GP premises is essential to provide adequate space for patients, trainees and </w:t>
      </w:r>
      <w:r w:rsidRPr="00907A1D">
        <w:rPr>
          <w:sz w:val="22"/>
          <w:szCs w:val="20"/>
        </w:rPr>
        <w:t>multidisciplinary team</w:t>
      </w:r>
      <w:r>
        <w:rPr>
          <w:sz w:val="22"/>
          <w:szCs w:val="20"/>
        </w:rPr>
        <w:t>s (MDTs)</w:t>
      </w:r>
      <w:r w:rsidRPr="00C41808">
        <w:rPr>
          <w:sz w:val="22"/>
          <w:szCs w:val="20"/>
        </w:rPr>
        <w:t xml:space="preserve">. </w:t>
      </w:r>
      <w:r w:rsidRPr="00611BEF">
        <w:rPr>
          <w:sz w:val="22"/>
          <w:szCs w:val="20"/>
        </w:rPr>
        <w:t xml:space="preserve">Neighbourhood working will require </w:t>
      </w:r>
      <w:r>
        <w:rPr>
          <w:sz w:val="22"/>
          <w:szCs w:val="20"/>
        </w:rPr>
        <w:t xml:space="preserve">significant </w:t>
      </w:r>
      <w:r w:rsidRPr="00B72A7C">
        <w:rPr>
          <w:sz w:val="22"/>
          <w:szCs w:val="20"/>
        </w:rPr>
        <w:t>additional</w:t>
      </w:r>
      <w:r>
        <w:rPr>
          <w:sz w:val="22"/>
          <w:szCs w:val="20"/>
        </w:rPr>
        <w:t xml:space="preserve"> funding and </w:t>
      </w:r>
      <w:r w:rsidRPr="00611BEF">
        <w:rPr>
          <w:sz w:val="22"/>
          <w:szCs w:val="20"/>
        </w:rPr>
        <w:t xml:space="preserve">physical </w:t>
      </w:r>
      <w:r>
        <w:rPr>
          <w:sz w:val="22"/>
          <w:szCs w:val="20"/>
        </w:rPr>
        <w:t xml:space="preserve">infrastructure to meet increasing workload demands and ensure capacity </w:t>
      </w:r>
      <w:r w:rsidRPr="00611BEF">
        <w:rPr>
          <w:sz w:val="22"/>
          <w:szCs w:val="20"/>
        </w:rPr>
        <w:t>for additional clinics</w:t>
      </w:r>
      <w:r>
        <w:rPr>
          <w:sz w:val="22"/>
          <w:szCs w:val="20"/>
        </w:rPr>
        <w:t>, wider MDTs</w:t>
      </w:r>
      <w:r w:rsidRPr="00611BEF">
        <w:rPr>
          <w:sz w:val="22"/>
          <w:szCs w:val="20"/>
        </w:rPr>
        <w:t xml:space="preserve">, and new ways of working. </w:t>
      </w:r>
    </w:p>
    <w:p w:rsidR="006008D2" w:rsidP="000B2832">
      <w:pPr>
        <w:rPr>
          <w:sz w:val="22"/>
          <w:szCs w:val="20"/>
        </w:rPr>
      </w:pPr>
    </w:p>
    <w:p w:rsidR="006008D2" w:rsidP="000B2832">
      <w:pPr>
        <w:rPr>
          <w:sz w:val="22"/>
          <w:szCs w:val="20"/>
        </w:rPr>
      </w:pPr>
      <w:r w:rsidRPr="00B751EA">
        <w:rPr>
          <w:sz w:val="22"/>
          <w:szCs w:val="20"/>
        </w:rPr>
        <w:t xml:space="preserve">The Government has confirmed plans to roll out 250 </w:t>
      </w:r>
      <w:r>
        <w:rPr>
          <w:sz w:val="22"/>
          <w:szCs w:val="20"/>
        </w:rPr>
        <w:t>Neighbourhood Health Centres</w:t>
      </w:r>
      <w:r w:rsidRPr="00B751EA">
        <w:rPr>
          <w:sz w:val="22"/>
          <w:szCs w:val="20"/>
        </w:rPr>
        <w:t xml:space="preserve"> </w:t>
      </w:r>
      <w:r>
        <w:rPr>
          <w:sz w:val="22"/>
          <w:szCs w:val="20"/>
        </w:rPr>
        <w:t>(</w:t>
      </w:r>
      <w:r>
        <w:rPr>
          <w:sz w:val="22"/>
          <w:szCs w:val="20"/>
        </w:rPr>
        <w:t>NHCs</w:t>
      </w:r>
      <w:r>
        <w:rPr>
          <w:sz w:val="22"/>
          <w:szCs w:val="20"/>
        </w:rPr>
        <w:t>)</w:t>
      </w:r>
      <w:r>
        <w:rPr>
          <w:sz w:val="22"/>
          <w:szCs w:val="20"/>
        </w:rPr>
        <w:t xml:space="preserve"> </w:t>
      </w:r>
      <w:r w:rsidRPr="00B751EA">
        <w:rPr>
          <w:sz w:val="22"/>
          <w:szCs w:val="20"/>
        </w:rPr>
        <w:t>by 2035, with 120 expected to be operational by 2030, funded through a mix of public and private investment. NHS</w:t>
      </w:r>
      <w:r>
        <w:rPr>
          <w:sz w:val="22"/>
          <w:szCs w:val="20"/>
        </w:rPr>
        <w:t>E</w:t>
      </w:r>
      <w:r w:rsidRPr="00B751EA">
        <w:rPr>
          <w:sz w:val="22"/>
          <w:szCs w:val="20"/>
        </w:rPr>
        <w:t xml:space="preserve"> has indicated that “up to half” of the £426 million allocated over four years will support 40 to 50 NHCs </w:t>
      </w:r>
      <w:r>
        <w:rPr>
          <w:sz w:val="22"/>
          <w:szCs w:val="20"/>
        </w:rPr>
        <w:t xml:space="preserve">to be delivered by the end of </w:t>
      </w:r>
      <w:r w:rsidRPr="00B751EA">
        <w:rPr>
          <w:sz w:val="22"/>
          <w:szCs w:val="20"/>
        </w:rPr>
        <w:t>this Parliament, primarily through refurbishment of existing buildings. While new centres and refurbishment</w:t>
      </w:r>
      <w:r>
        <w:rPr>
          <w:sz w:val="22"/>
          <w:szCs w:val="20"/>
        </w:rPr>
        <w:t>s</w:t>
      </w:r>
      <w:r w:rsidRPr="00B751EA">
        <w:rPr>
          <w:sz w:val="22"/>
          <w:szCs w:val="20"/>
        </w:rPr>
        <w:t xml:space="preserve"> are welcome, many GP premises are already located within the communities they serve and, with targeted capital investm</w:t>
      </w:r>
      <w:r w:rsidRPr="00B751EA">
        <w:rPr>
          <w:sz w:val="22"/>
          <w:szCs w:val="20"/>
        </w:rPr>
        <w:t xml:space="preserve">ent, could be upgraded to function as NHCs more quickly and at lower cost. </w:t>
      </w:r>
    </w:p>
    <w:p w:rsidR="006008D2" w:rsidP="000B2832">
      <w:pPr>
        <w:rPr>
          <w:sz w:val="22"/>
          <w:szCs w:val="20"/>
        </w:rPr>
      </w:pPr>
    </w:p>
    <w:p w:rsidR="006008D2" w:rsidP="000B2832">
      <w:pPr>
        <w:rPr>
          <w:sz w:val="22"/>
          <w:szCs w:val="20"/>
        </w:rPr>
      </w:pPr>
      <w:r w:rsidRPr="00B751EA">
        <w:rPr>
          <w:sz w:val="22"/>
          <w:szCs w:val="20"/>
        </w:rPr>
        <w:t xml:space="preserve">However, </w:t>
      </w:r>
      <w:r w:rsidRPr="00B751EA">
        <w:rPr>
          <w:sz w:val="22"/>
          <w:szCs w:val="20"/>
        </w:rPr>
        <w:t>the majority of</w:t>
      </w:r>
      <w:r w:rsidRPr="00B751EA">
        <w:rPr>
          <w:sz w:val="22"/>
          <w:szCs w:val="20"/>
        </w:rPr>
        <w:t xml:space="preserve"> primary care will continue to be delivered from GP surgeries, many of which are ageing and require urgent investment.</w:t>
      </w:r>
      <w:r>
        <w:rPr>
          <w:sz w:val="22"/>
          <w:szCs w:val="20"/>
        </w:rPr>
        <w:t xml:space="preserve"> </w:t>
      </w:r>
      <w:r w:rsidRPr="006C7A0A">
        <w:rPr>
          <w:sz w:val="22"/>
          <w:szCs w:val="20"/>
        </w:rPr>
        <w:t>We are also concerned about the rural and coastal impact and ensuring patients do not have to travel long distances or lose continuity of care.</w:t>
      </w:r>
      <w:r w:rsidRPr="00B751EA">
        <w:rPr>
          <w:sz w:val="22"/>
          <w:szCs w:val="20"/>
        </w:rPr>
        <w:t xml:space="preserve"> The </w:t>
      </w:r>
      <w:r>
        <w:rPr>
          <w:sz w:val="22"/>
          <w:szCs w:val="20"/>
        </w:rPr>
        <w:t>neighbourhood health</w:t>
      </w:r>
      <w:r w:rsidRPr="00B751EA">
        <w:rPr>
          <w:sz w:val="22"/>
          <w:szCs w:val="20"/>
        </w:rPr>
        <w:t xml:space="preserve"> programme must therefore sit alongside a clear, funded plan to improve existing GP premises, which members frequently report as dilapidated and unfit for purpose. The Government has not yet set out what will h</w:t>
      </w:r>
      <w:r w:rsidRPr="00B751EA">
        <w:rPr>
          <w:sz w:val="22"/>
          <w:szCs w:val="20"/>
        </w:rPr>
        <w:t>appen to existing practice premises or future ownership arrangements.</w:t>
      </w:r>
    </w:p>
    <w:p w:rsidR="006008D2" w:rsidP="000B2832">
      <w:pPr>
        <w:rPr>
          <w:sz w:val="22"/>
          <w:szCs w:val="20"/>
        </w:rPr>
      </w:pPr>
    </w:p>
    <w:p w:rsidR="006008D2" w:rsidP="006C3501">
      <w:pPr>
        <w:rPr>
          <w:sz w:val="22"/>
          <w:szCs w:val="20"/>
        </w:rPr>
      </w:pPr>
      <w:r>
        <w:rPr>
          <w:sz w:val="22"/>
          <w:szCs w:val="20"/>
        </w:rPr>
        <w:t xml:space="preserve">Funding must address the fact that GP </w:t>
      </w:r>
      <w:r w:rsidRPr="008750A6">
        <w:rPr>
          <w:sz w:val="22"/>
          <w:szCs w:val="20"/>
        </w:rPr>
        <w:t>premises are not</w:t>
      </w:r>
      <w:r>
        <w:rPr>
          <w:sz w:val="22"/>
          <w:szCs w:val="20"/>
        </w:rPr>
        <w:t xml:space="preserve"> currently</w:t>
      </w:r>
      <w:r w:rsidRPr="008750A6">
        <w:rPr>
          <w:sz w:val="22"/>
          <w:szCs w:val="20"/>
        </w:rPr>
        <w:t xml:space="preserve"> in a fit state to meet demand</w:t>
      </w:r>
      <w:r>
        <w:rPr>
          <w:sz w:val="22"/>
          <w:szCs w:val="20"/>
        </w:rPr>
        <w:t>;</w:t>
      </w:r>
      <w:r w:rsidRPr="008750A6">
        <w:rPr>
          <w:sz w:val="22"/>
          <w:szCs w:val="20"/>
        </w:rPr>
        <w:t xml:space="preserve"> </w:t>
      </w:r>
      <w:r>
        <w:rPr>
          <w:sz w:val="22"/>
          <w:szCs w:val="20"/>
        </w:rPr>
        <w:t xml:space="preserve">increased </w:t>
      </w:r>
      <w:r w:rsidRPr="008750A6">
        <w:rPr>
          <w:sz w:val="22"/>
          <w:szCs w:val="20"/>
        </w:rPr>
        <w:t xml:space="preserve">investment in infrastructure is necessary to achieve this vision. Even existing NHS premises that could be repurposed for neighbourhood healthcare will need refurbishing, as part of the Government's proposal to rollout </w:t>
      </w:r>
      <w:r>
        <w:rPr>
          <w:sz w:val="22"/>
          <w:szCs w:val="20"/>
        </w:rPr>
        <w:t>NHCs</w:t>
      </w:r>
      <w:r w:rsidRPr="008750A6">
        <w:rPr>
          <w:sz w:val="22"/>
          <w:szCs w:val="20"/>
        </w:rPr>
        <w:t xml:space="preserve">. </w:t>
      </w:r>
      <w:r>
        <w:rPr>
          <w:sz w:val="22"/>
          <w:szCs w:val="20"/>
        </w:rPr>
        <w:t xml:space="preserve">In </w:t>
      </w:r>
      <w:r>
        <w:fldChar w:fldCharType="begin"/>
      </w:r>
      <w:r>
        <w:instrText xml:space="preserve"> HYPERLINK "https://www.rcgp.org.uk/getmedia/e6e922ea-97c2-46ef-85fd-a6ecafa91d45/Treasury-Submission-Autumn-Budget-2025.pdf" </w:instrText>
      </w:r>
      <w:r>
        <w:fldChar w:fldCharType="separate"/>
      </w:r>
      <w:r w:rsidRPr="005F2C07">
        <w:rPr>
          <w:rStyle w:val="Hyperlink"/>
          <w:sz w:val="22"/>
          <w:szCs w:val="20"/>
        </w:rPr>
        <w:t>previous submissions</w:t>
      </w:r>
      <w:r>
        <w:fldChar w:fldCharType="end"/>
      </w:r>
      <w:r>
        <w:rPr>
          <w:sz w:val="22"/>
          <w:szCs w:val="20"/>
        </w:rPr>
        <w:t xml:space="preserve">, the RCGP has called for </w:t>
      </w:r>
      <w:r>
        <w:rPr>
          <w:sz w:val="22"/>
        </w:rPr>
        <w:t>the</w:t>
      </w:r>
      <w:r w:rsidRPr="00E76409">
        <w:rPr>
          <w:sz w:val="22"/>
        </w:rPr>
        <w:t xml:space="preserve"> Government </w:t>
      </w:r>
      <w:r>
        <w:rPr>
          <w:sz w:val="22"/>
        </w:rPr>
        <w:t>to</w:t>
      </w:r>
      <w:r w:rsidRPr="00E76409">
        <w:rPr>
          <w:sz w:val="22"/>
        </w:rPr>
        <w:t xml:space="preserve"> </w:t>
      </w:r>
      <w:r>
        <w:rPr>
          <w:sz w:val="22"/>
        </w:rPr>
        <w:t>ensure</w:t>
      </w:r>
      <w:r w:rsidRPr="00E76409">
        <w:rPr>
          <w:sz w:val="22"/>
        </w:rPr>
        <w:t xml:space="preserve"> every patient </w:t>
      </w:r>
      <w:r>
        <w:rPr>
          <w:sz w:val="22"/>
        </w:rPr>
        <w:t xml:space="preserve">has </w:t>
      </w:r>
      <w:r w:rsidRPr="00E76409">
        <w:rPr>
          <w:sz w:val="22"/>
        </w:rPr>
        <w:t>access to a modern fit</w:t>
      </w:r>
      <w:r>
        <w:rPr>
          <w:sz w:val="22"/>
        </w:rPr>
        <w:t>-for-</w:t>
      </w:r>
      <w:r w:rsidRPr="00E76409">
        <w:rPr>
          <w:sz w:val="22"/>
        </w:rPr>
        <w:t xml:space="preserve">purpose general practice building, by investing </w:t>
      </w:r>
      <w:r w:rsidRPr="00130B4F">
        <w:rPr>
          <w:sz w:val="22"/>
        </w:rPr>
        <w:t>in infrastructure</w:t>
      </w:r>
      <w:r w:rsidRPr="00274192">
        <w:rPr>
          <w:sz w:val="22"/>
        </w:rPr>
        <w:t xml:space="preserve"> to address</w:t>
      </w:r>
      <w:r w:rsidRPr="00E76409">
        <w:rPr>
          <w:sz w:val="22"/>
        </w:rPr>
        <w:t xml:space="preserve"> the longstanding underfunding in general practice premises.</w:t>
      </w:r>
      <w:r>
        <w:rPr>
          <w:rStyle w:val="EndnoteReference"/>
          <w:sz w:val="22"/>
        </w:rPr>
        <w:endnoteReference w:id="11"/>
      </w:r>
      <w:r w:rsidRPr="00E76409">
        <w:rPr>
          <w:sz w:val="22"/>
        </w:rPr>
        <w:t xml:space="preserve"> Investment should facilitate co-location of community and voluntary services with practices where this works for the local population and services. </w:t>
      </w:r>
    </w:p>
    <w:p w:rsidR="006008D2" w:rsidP="006C3501">
      <w:pPr>
        <w:rPr>
          <w:sz w:val="22"/>
          <w:szCs w:val="20"/>
        </w:rPr>
      </w:pPr>
    </w:p>
    <w:p w:rsidR="006008D2" w:rsidRPr="00EE5C78" w:rsidP="006C3501">
      <w:pPr>
        <w:rPr>
          <w:sz w:val="22"/>
          <w:szCs w:val="20"/>
        </w:rPr>
      </w:pPr>
      <w:r>
        <w:rPr>
          <w:sz w:val="22"/>
          <w:szCs w:val="20"/>
        </w:rPr>
        <w:t>As mentioned above</w:t>
      </w:r>
      <w:r>
        <w:rPr>
          <w:sz w:val="22"/>
          <w:szCs w:val="20"/>
        </w:rPr>
        <w:t xml:space="preserve">, it is essential that </w:t>
      </w:r>
      <w:r>
        <w:rPr>
          <w:sz w:val="22"/>
          <w:szCs w:val="20"/>
        </w:rPr>
        <w:t xml:space="preserve">health reforms and </w:t>
      </w:r>
      <w:r>
        <w:rPr>
          <w:sz w:val="22"/>
          <w:szCs w:val="20"/>
        </w:rPr>
        <w:t xml:space="preserve">development of a neighbourhood health system </w:t>
      </w:r>
      <w:r>
        <w:rPr>
          <w:sz w:val="22"/>
          <w:szCs w:val="20"/>
        </w:rPr>
        <w:t xml:space="preserve">do not </w:t>
      </w:r>
      <w:r>
        <w:rPr>
          <w:sz w:val="22"/>
          <w:szCs w:val="20"/>
        </w:rPr>
        <w:t xml:space="preserve">result in greater </w:t>
      </w:r>
      <w:r>
        <w:rPr>
          <w:sz w:val="22"/>
          <w:szCs w:val="20"/>
        </w:rPr>
        <w:t xml:space="preserve">financial risk and </w:t>
      </w:r>
      <w:r>
        <w:rPr>
          <w:sz w:val="22"/>
          <w:szCs w:val="20"/>
        </w:rPr>
        <w:t>bureaucracy</w:t>
      </w:r>
      <w:r>
        <w:rPr>
          <w:sz w:val="22"/>
          <w:szCs w:val="20"/>
        </w:rPr>
        <w:t xml:space="preserve"> for GP</w:t>
      </w:r>
      <w:r>
        <w:rPr>
          <w:sz w:val="22"/>
          <w:szCs w:val="20"/>
        </w:rPr>
        <w:t>s</w:t>
      </w:r>
      <w:r>
        <w:rPr>
          <w:sz w:val="22"/>
          <w:szCs w:val="20"/>
        </w:rPr>
        <w:t xml:space="preserve">. </w:t>
      </w:r>
      <w:r w:rsidRPr="00920A76">
        <w:rPr>
          <w:sz w:val="22"/>
          <w:szCs w:val="20"/>
        </w:rPr>
        <w:t xml:space="preserve">Learning from </w:t>
      </w:r>
      <w:r w:rsidRPr="00920A76">
        <w:rPr>
          <w:sz w:val="22"/>
          <w:szCs w:val="20"/>
        </w:rPr>
        <w:t>past experience</w:t>
      </w:r>
      <w:r w:rsidRPr="00920A76">
        <w:rPr>
          <w:sz w:val="22"/>
          <w:szCs w:val="20"/>
        </w:rPr>
        <w:t xml:space="preserve">, including issues </w:t>
      </w:r>
      <w:r>
        <w:rPr>
          <w:sz w:val="22"/>
          <w:szCs w:val="20"/>
        </w:rPr>
        <w:t>GP face</w:t>
      </w:r>
      <w:r w:rsidRPr="00920A76">
        <w:rPr>
          <w:sz w:val="22"/>
          <w:szCs w:val="20"/>
        </w:rPr>
        <w:t xml:space="preserve"> with NHS Property Services</w:t>
      </w:r>
      <w:r>
        <w:rPr>
          <w:sz w:val="22"/>
          <w:szCs w:val="20"/>
        </w:rPr>
        <w:t xml:space="preserve"> </w:t>
      </w:r>
      <w:r w:rsidRPr="008320D9">
        <w:rPr>
          <w:sz w:val="22"/>
          <w:szCs w:val="20"/>
        </w:rPr>
        <w:t>(NHSPS)</w:t>
      </w:r>
      <w:r w:rsidRPr="00920A76">
        <w:rPr>
          <w:sz w:val="22"/>
          <w:szCs w:val="20"/>
        </w:rPr>
        <w:t xml:space="preserve">, systems should </w:t>
      </w:r>
      <w:r>
        <w:rPr>
          <w:sz w:val="22"/>
          <w:szCs w:val="20"/>
        </w:rPr>
        <w:t xml:space="preserve">prevent </w:t>
      </w:r>
      <w:r w:rsidRPr="00120043">
        <w:rPr>
          <w:sz w:val="22"/>
          <w:szCs w:val="20"/>
        </w:rPr>
        <w:t xml:space="preserve">tying practices into </w:t>
      </w:r>
      <w:r w:rsidRPr="00920A76">
        <w:rPr>
          <w:sz w:val="22"/>
          <w:szCs w:val="20"/>
        </w:rPr>
        <w:t>long contracts,</w:t>
      </w:r>
      <w:r>
        <w:rPr>
          <w:sz w:val="22"/>
          <w:szCs w:val="20"/>
        </w:rPr>
        <w:t xml:space="preserve"> unsustainable or</w:t>
      </w:r>
      <w:r w:rsidRPr="00920A76">
        <w:rPr>
          <w:sz w:val="22"/>
          <w:szCs w:val="20"/>
        </w:rPr>
        <w:t xml:space="preserve"> unpredictable rent increases, service charges, and repair or maintenance bills that are not fully covered. </w:t>
      </w:r>
      <w:r w:rsidRPr="00120043">
        <w:rPr>
          <w:sz w:val="22"/>
          <w:szCs w:val="20"/>
        </w:rPr>
        <w:t xml:space="preserve">These </w:t>
      </w:r>
      <w:r>
        <w:rPr>
          <w:sz w:val="22"/>
          <w:szCs w:val="20"/>
        </w:rPr>
        <w:t>unsustainable</w:t>
      </w:r>
      <w:r w:rsidRPr="00120043">
        <w:rPr>
          <w:sz w:val="22"/>
          <w:szCs w:val="20"/>
        </w:rPr>
        <w:t xml:space="preserve"> costs can </w:t>
      </w:r>
      <w:r>
        <w:rPr>
          <w:sz w:val="22"/>
          <w:szCs w:val="20"/>
        </w:rPr>
        <w:t>become unaffordable</w:t>
      </w:r>
      <w:r w:rsidRPr="00920A76">
        <w:rPr>
          <w:sz w:val="22"/>
          <w:szCs w:val="20"/>
        </w:rPr>
        <w:t xml:space="preserve">, </w:t>
      </w:r>
      <w:r>
        <w:rPr>
          <w:sz w:val="22"/>
          <w:szCs w:val="20"/>
        </w:rPr>
        <w:t xml:space="preserve">meaning </w:t>
      </w:r>
      <w:r w:rsidRPr="00920A76">
        <w:rPr>
          <w:sz w:val="22"/>
          <w:szCs w:val="20"/>
        </w:rPr>
        <w:t xml:space="preserve">practices </w:t>
      </w:r>
      <w:r>
        <w:rPr>
          <w:sz w:val="22"/>
          <w:szCs w:val="20"/>
        </w:rPr>
        <w:t xml:space="preserve">may be forced </w:t>
      </w:r>
      <w:r w:rsidRPr="00920A76">
        <w:rPr>
          <w:sz w:val="22"/>
          <w:szCs w:val="20"/>
        </w:rPr>
        <w:t>to reduce capacity</w:t>
      </w:r>
      <w:r>
        <w:rPr>
          <w:sz w:val="22"/>
          <w:szCs w:val="20"/>
        </w:rPr>
        <w:t xml:space="preserve"> or </w:t>
      </w:r>
      <w:r w:rsidRPr="00920A76">
        <w:rPr>
          <w:sz w:val="22"/>
          <w:szCs w:val="20"/>
        </w:rPr>
        <w:t>scale back services, partnership recruitment and succession becomes harder</w:t>
      </w:r>
      <w:r>
        <w:rPr>
          <w:sz w:val="22"/>
          <w:szCs w:val="20"/>
        </w:rPr>
        <w:t xml:space="preserve"> and practice feasibility can result in </w:t>
      </w:r>
      <w:r w:rsidRPr="00920A76">
        <w:rPr>
          <w:sz w:val="22"/>
          <w:szCs w:val="20"/>
        </w:rPr>
        <w:t>closu</w:t>
      </w:r>
      <w:r>
        <w:rPr>
          <w:sz w:val="22"/>
          <w:szCs w:val="20"/>
        </w:rPr>
        <w:t>res with flo</w:t>
      </w:r>
      <w:r>
        <w:rPr>
          <w:sz w:val="22"/>
          <w:szCs w:val="20"/>
        </w:rPr>
        <w:t xml:space="preserve">w-on implications for patient access and workload impacts for nearby GP practices. </w:t>
      </w:r>
      <w:r>
        <w:rPr>
          <w:sz w:val="22"/>
          <w:szCs w:val="20"/>
        </w:rPr>
        <w:t xml:space="preserve">Our 2025 </w:t>
      </w:r>
      <w:r>
        <w:fldChar w:fldCharType="begin"/>
      </w:r>
      <w:r>
        <w:instrText xml:space="preserve"> HYPERLINK "https://www.rcgp.org.uk/getmedia/76288c16-8aa2-4a73-8839-06c091ca5bd0/RCGP-GP-Partnership-Principles-May-2025.pdf" </w:instrText>
      </w:r>
      <w:r>
        <w:fldChar w:fldCharType="separate"/>
      </w:r>
      <w:r w:rsidRPr="00B23A17">
        <w:rPr>
          <w:rStyle w:val="Hyperlink"/>
          <w:sz w:val="22"/>
          <w:szCs w:val="20"/>
        </w:rPr>
        <w:t>GP Partnership Principles</w:t>
      </w:r>
      <w:r>
        <w:fldChar w:fldCharType="end"/>
      </w:r>
      <w:r>
        <w:rPr>
          <w:sz w:val="22"/>
          <w:szCs w:val="20"/>
        </w:rPr>
        <w:t xml:space="preserve"> paper describes </w:t>
      </w:r>
      <w:r>
        <w:rPr>
          <w:sz w:val="22"/>
          <w:szCs w:val="20"/>
        </w:rPr>
        <w:t xml:space="preserve">the value of partnership, and </w:t>
      </w:r>
      <w:r>
        <w:rPr>
          <w:sz w:val="22"/>
          <w:szCs w:val="20"/>
        </w:rPr>
        <w:t xml:space="preserve">how GP partners in particular face considerable </w:t>
      </w:r>
      <w:r w:rsidRPr="009B019A">
        <w:rPr>
          <w:sz w:val="22"/>
          <w:szCs w:val="20"/>
        </w:rPr>
        <w:t>financial burden and risks associated with owning or leasing premises, and</w:t>
      </w:r>
      <w:r>
        <w:rPr>
          <w:sz w:val="22"/>
          <w:szCs w:val="20"/>
        </w:rPr>
        <w:t xml:space="preserve"> </w:t>
      </w:r>
      <w:r w:rsidRPr="009B019A">
        <w:rPr>
          <w:sz w:val="22"/>
          <w:szCs w:val="20"/>
        </w:rPr>
        <w:t xml:space="preserve">early career GPs </w:t>
      </w:r>
      <w:r>
        <w:rPr>
          <w:sz w:val="22"/>
          <w:szCs w:val="20"/>
        </w:rPr>
        <w:t>face barriers to becoming partners due to</w:t>
      </w:r>
      <w:r w:rsidRPr="009B019A">
        <w:rPr>
          <w:sz w:val="22"/>
          <w:szCs w:val="20"/>
        </w:rPr>
        <w:t xml:space="preserve"> </w:t>
      </w:r>
      <w:r>
        <w:rPr>
          <w:sz w:val="22"/>
          <w:szCs w:val="20"/>
        </w:rPr>
        <w:t xml:space="preserve">the </w:t>
      </w:r>
      <w:r w:rsidRPr="009B019A">
        <w:rPr>
          <w:sz w:val="22"/>
          <w:szCs w:val="20"/>
        </w:rPr>
        <w:t>feasibility of buying into property</w:t>
      </w:r>
      <w:r>
        <w:rPr>
          <w:sz w:val="22"/>
          <w:szCs w:val="20"/>
        </w:rPr>
        <w:t>.</w:t>
      </w:r>
      <w:r>
        <w:rPr>
          <w:rStyle w:val="EndnoteReference"/>
          <w:sz w:val="22"/>
          <w:szCs w:val="20"/>
        </w:rPr>
        <w:endnoteReference w:id="12"/>
      </w:r>
      <w:r>
        <w:rPr>
          <w:sz w:val="22"/>
          <w:szCs w:val="20"/>
        </w:rPr>
        <w:t xml:space="preserve"> We continue to call for </w:t>
      </w:r>
      <w:r>
        <w:rPr>
          <w:sz w:val="22"/>
          <w:szCs w:val="20"/>
        </w:rPr>
        <w:t xml:space="preserve">outstanding recommendations from the Government’s independent </w:t>
      </w:r>
      <w:r>
        <w:fldChar w:fldCharType="begin"/>
      </w:r>
      <w:r>
        <w:instrText xml:space="preserve"> HYPERLINK "https://assets.publishing.service.gov.uk/media/5c3ca241ed915d50b4b47223/gp-partnership-review-final-report.pdf" </w:instrText>
      </w:r>
      <w:r>
        <w:fldChar w:fldCharType="separate"/>
      </w:r>
      <w:r w:rsidRPr="00C13863">
        <w:rPr>
          <w:rStyle w:val="Hyperlink"/>
          <w:sz w:val="22"/>
          <w:szCs w:val="20"/>
        </w:rPr>
        <w:t>GP Partnership Review</w:t>
      </w:r>
      <w:r>
        <w:fldChar w:fldCharType="end"/>
      </w:r>
      <w:r>
        <w:rPr>
          <w:sz w:val="22"/>
          <w:szCs w:val="20"/>
        </w:rPr>
        <w:t xml:space="preserve"> </w:t>
      </w:r>
      <w:r>
        <w:rPr>
          <w:sz w:val="22"/>
          <w:szCs w:val="20"/>
        </w:rPr>
        <w:t xml:space="preserve">to be actioned, including mitigating </w:t>
      </w:r>
      <w:r w:rsidRPr="00A57F5B">
        <w:rPr>
          <w:sz w:val="22"/>
          <w:szCs w:val="20"/>
        </w:rPr>
        <w:t>the personal risk and liability associated with being a lease holder or property owner.</w:t>
      </w:r>
      <w:r>
        <w:rPr>
          <w:rStyle w:val="EndnoteReference"/>
          <w:sz w:val="22"/>
          <w:szCs w:val="20"/>
        </w:rPr>
        <w:endnoteReference w:id="13"/>
      </w:r>
    </w:p>
    <w:p w:rsidR="006008D2" w:rsidP="00E76409">
      <w:pPr>
        <w:rPr>
          <w:sz w:val="22"/>
        </w:rPr>
      </w:pPr>
    </w:p>
    <w:p w:rsidR="006008D2" w:rsidP="00E76409">
      <w:pPr>
        <w:rPr>
          <w:sz w:val="22"/>
        </w:rPr>
      </w:pPr>
      <w:r w:rsidRPr="00E76409">
        <w:rPr>
          <w:sz w:val="22"/>
        </w:rPr>
        <w:t>GP premises also need the space and resources to accommodate expanding primary care staff teams, utilise advances in technology and AI, and to deliver on the NHS’s sustainability commitments and the path to net zero. Approximately 16% of general practice’s emissions come from energy use.</w:t>
      </w:r>
      <w:r>
        <w:rPr>
          <w:rStyle w:val="EndnoteReference"/>
          <w:sz w:val="22"/>
        </w:rPr>
        <w:endnoteReference w:id="14"/>
      </w:r>
      <w:r>
        <w:rPr>
          <w:sz w:val="22"/>
        </w:rPr>
        <w:t xml:space="preserve"> </w:t>
      </w:r>
      <w:r w:rsidRPr="00E76409">
        <w:rPr>
          <w:sz w:val="22"/>
        </w:rPr>
        <w:t>Improving energy efficiency has concurrent benefits for practices, staff, patients, and the NHS, by reducing energy costs and ensuring more comfortable and controllable healthcare environments. Interventions that could produce dual benefits for staff, patients and the environment include retrofitting to improve insulation and address</w:t>
      </w:r>
      <w:r>
        <w:rPr>
          <w:sz w:val="22"/>
        </w:rPr>
        <w:t>ing</w:t>
      </w:r>
      <w:r w:rsidRPr="00E76409">
        <w:rPr>
          <w:sz w:val="22"/>
        </w:rPr>
        <w:t xml:space="preserve"> issues causing drafts and damp, </w:t>
      </w:r>
      <w:r w:rsidRPr="00E76409">
        <w:rPr>
          <w:sz w:val="22"/>
        </w:rPr>
        <w:t>investi</w:t>
      </w:r>
      <w:r>
        <w:rPr>
          <w:sz w:val="22"/>
        </w:rPr>
        <w:t>ng</w:t>
      </w:r>
      <w:r w:rsidRPr="00E76409">
        <w:rPr>
          <w:sz w:val="22"/>
        </w:rPr>
        <w:t xml:space="preserve"> in heat pumps and cooling systems, moving away from gas, and funding for solar panels. Further efforts should be made by Treasury </w:t>
      </w:r>
      <w:r w:rsidRPr="00E76409">
        <w:rPr>
          <w:sz w:val="22"/>
        </w:rPr>
        <w:t xml:space="preserve">and </w:t>
      </w:r>
      <w:r>
        <w:rPr>
          <w:sz w:val="22"/>
        </w:rPr>
        <w:t xml:space="preserve">DHSC </w:t>
      </w:r>
      <w:r w:rsidRPr="00E76409">
        <w:rPr>
          <w:sz w:val="22"/>
        </w:rPr>
        <w:t>to support primary care providers to decarbonise their estates and remove existing barriers that prevent GP practices from accessing relevant schemes. For example, this could replicate direct investment support by Great British Energy currently being provided to hospitals and schools.</w:t>
      </w:r>
    </w:p>
    <w:p w:rsidR="006008D2" w:rsidP="00E76409">
      <w:pPr>
        <w:rPr>
          <w:sz w:val="22"/>
        </w:rPr>
      </w:pPr>
    </w:p>
    <w:p w:rsidR="006008D2" w:rsidRPr="00696FB0" w:rsidP="00E76409">
      <w:pPr>
        <w:rPr>
          <w:b/>
          <w:bCs/>
          <w:sz w:val="22"/>
        </w:rPr>
      </w:pPr>
      <w:r w:rsidRPr="00696FB0">
        <w:rPr>
          <w:b/>
          <w:bCs/>
          <w:sz w:val="22"/>
        </w:rPr>
        <w:t xml:space="preserve">Planning </w:t>
      </w:r>
      <w:r w:rsidRPr="00696FB0">
        <w:rPr>
          <w:b/>
          <w:bCs/>
          <w:sz w:val="22"/>
        </w:rPr>
        <w:t>and development issues:</w:t>
      </w:r>
    </w:p>
    <w:p w:rsidR="006008D2" w:rsidRPr="00F27D3D" w:rsidP="000B2832">
      <w:pPr>
        <w:rPr>
          <w:sz w:val="22"/>
        </w:rPr>
      </w:pPr>
      <w:r w:rsidRPr="00E76409">
        <w:rPr>
          <w:sz w:val="22"/>
        </w:rPr>
        <w:t>New housing projects often neglect consideration of GP and other health premises despite population growth that demands more health and social infrastructure. Even when commitments are made as part of a new development, the process of getting a practice up and running is often hampered by bureaucracy and fragmented working between developers, local authorities, ICBs, and providers – often at significant time delay. Without proper consideration and successful end-to-end delivery of essential health and socia</w:t>
      </w:r>
      <w:r w:rsidRPr="00E76409">
        <w:rPr>
          <w:sz w:val="22"/>
        </w:rPr>
        <w:t xml:space="preserve">l infrastructure, there is a real risk that new developments could exacerbate existing health inequalities, particularly in underserved or high-growth areas. </w:t>
      </w:r>
      <w:r w:rsidRPr="00241AC4">
        <w:rPr>
          <w:sz w:val="22"/>
        </w:rPr>
        <w:t xml:space="preserve">As </w:t>
      </w:r>
      <w:r>
        <w:rPr>
          <w:sz w:val="22"/>
        </w:rPr>
        <w:t xml:space="preserve">housing growth </w:t>
      </w:r>
      <w:r w:rsidRPr="00241AC4">
        <w:rPr>
          <w:sz w:val="22"/>
        </w:rPr>
        <w:t xml:space="preserve">accelerates, </w:t>
      </w:r>
      <w:r>
        <w:rPr>
          <w:sz w:val="22"/>
        </w:rPr>
        <w:t>I</w:t>
      </w:r>
      <w:r>
        <w:rPr>
          <w:sz w:val="22"/>
        </w:rPr>
        <w:t>CB</w:t>
      </w:r>
      <w:r>
        <w:rPr>
          <w:sz w:val="22"/>
        </w:rPr>
        <w:t>s and</w:t>
      </w:r>
      <w:r>
        <w:rPr>
          <w:sz w:val="22"/>
        </w:rPr>
        <w:t xml:space="preserve"> local</w:t>
      </w:r>
      <w:r>
        <w:rPr>
          <w:sz w:val="22"/>
        </w:rPr>
        <w:t xml:space="preserve"> </w:t>
      </w:r>
      <w:r w:rsidRPr="00241AC4">
        <w:rPr>
          <w:sz w:val="22"/>
        </w:rPr>
        <w:t xml:space="preserve">planning authorities must be equipped to </w:t>
      </w:r>
      <w:r>
        <w:rPr>
          <w:sz w:val="22"/>
        </w:rPr>
        <w:t>deliver</w:t>
      </w:r>
      <w:r w:rsidRPr="00241AC4">
        <w:rPr>
          <w:sz w:val="22"/>
        </w:rPr>
        <w:t xml:space="preserve"> timely provision of </w:t>
      </w:r>
      <w:r>
        <w:rPr>
          <w:sz w:val="22"/>
        </w:rPr>
        <w:t xml:space="preserve">new </w:t>
      </w:r>
      <w:r w:rsidRPr="00241AC4">
        <w:rPr>
          <w:sz w:val="22"/>
        </w:rPr>
        <w:t>primary healthcare infrastructure</w:t>
      </w:r>
      <w:r>
        <w:rPr>
          <w:sz w:val="22"/>
        </w:rPr>
        <w:t xml:space="preserve"> and </w:t>
      </w:r>
      <w:r>
        <w:rPr>
          <w:sz w:val="22"/>
        </w:rPr>
        <w:t xml:space="preserve">expansion of existing </w:t>
      </w:r>
      <w:r>
        <w:rPr>
          <w:sz w:val="22"/>
        </w:rPr>
        <w:t>premises</w:t>
      </w:r>
      <w:r w:rsidRPr="00241AC4">
        <w:rPr>
          <w:sz w:val="22"/>
        </w:rPr>
        <w:t>,</w:t>
      </w:r>
      <w:r>
        <w:rPr>
          <w:sz w:val="22"/>
        </w:rPr>
        <w:t xml:space="preserve"> </w:t>
      </w:r>
      <w:r>
        <w:rPr>
          <w:sz w:val="22"/>
        </w:rPr>
        <w:t>holding developers to account,</w:t>
      </w:r>
      <w:r>
        <w:rPr>
          <w:sz w:val="22"/>
        </w:rPr>
        <w:t xml:space="preserve"> </w:t>
      </w:r>
      <w:r w:rsidRPr="00E803A9">
        <w:rPr>
          <w:sz w:val="22"/>
        </w:rPr>
        <w:t xml:space="preserve">so services </w:t>
      </w:r>
      <w:r w:rsidRPr="004E5D10">
        <w:rPr>
          <w:sz w:val="22"/>
        </w:rPr>
        <w:t>meet today’s mounting pressures and remain adaptable to future demand without widening access gaps or inequalities.</w:t>
      </w:r>
    </w:p>
    <w:p w:rsidR="006008D2" w:rsidRPr="00F27D3D" w:rsidP="000B2832">
      <w:pPr>
        <w:rPr>
          <w:sz w:val="22"/>
        </w:rPr>
      </w:pPr>
    </w:p>
    <w:p w:rsidR="006008D2" w:rsidRPr="00ED5FDF" w:rsidP="00ED5FDF">
      <w:pPr>
        <w:numPr>
          <w:ilvl w:val="0"/>
          <w:numId w:val="20"/>
        </w:numPr>
        <w:spacing w:before="240"/>
        <w:rPr>
          <w:i/>
          <w:color w:val="0070C0"/>
          <w:sz w:val="22"/>
          <w:szCs w:val="20"/>
        </w:rPr>
      </w:pPr>
      <w:r w:rsidRPr="00ED5FDF">
        <w:rPr>
          <w:i/>
          <w:color w:val="0070C0"/>
          <w:sz w:val="22"/>
          <w:szCs w:val="20"/>
        </w:rPr>
        <w:t>What criteria should be used to prioritise the investment in the estate to enable it to deliver the Neighbourhood Health Service?</w:t>
      </w:r>
    </w:p>
    <w:p w:rsidR="006008D2" w:rsidRPr="00ED5FDF" w:rsidP="003B6E3A">
      <w:pPr>
        <w:pStyle w:val="ListParagraph"/>
        <w:numPr>
          <w:ilvl w:val="0"/>
          <w:numId w:val="28"/>
        </w:numPr>
        <w:rPr>
          <w:i/>
          <w:color w:val="0070C0"/>
          <w:sz w:val="22"/>
          <w:szCs w:val="20"/>
        </w:rPr>
      </w:pPr>
      <w:r w:rsidRPr="00ED5FDF">
        <w:rPr>
          <w:i/>
          <w:color w:val="0070C0"/>
          <w:sz w:val="22"/>
          <w:szCs w:val="20"/>
        </w:rPr>
        <w:t>What lessons should Government take from previous private investment models when using Public-Private Partnerships?</w:t>
      </w:r>
    </w:p>
    <w:p w:rsidR="006008D2" w:rsidRPr="00ED5FDF" w:rsidP="003B6E3A">
      <w:pPr>
        <w:pStyle w:val="ListParagraph"/>
        <w:numPr>
          <w:ilvl w:val="0"/>
          <w:numId w:val="28"/>
        </w:numPr>
        <w:rPr>
          <w:i/>
          <w:color w:val="0070C0"/>
          <w:sz w:val="22"/>
          <w:szCs w:val="20"/>
        </w:rPr>
      </w:pPr>
      <w:r w:rsidRPr="00ED5FDF">
        <w:rPr>
          <w:i/>
          <w:color w:val="0070C0"/>
          <w:sz w:val="22"/>
          <w:szCs w:val="20"/>
        </w:rPr>
        <w:t>What are the non-financial barriers to more effective estate development and utilisation and how can they be addressed?  </w:t>
      </w:r>
    </w:p>
    <w:p w:rsidR="006008D2" w:rsidP="00C87BDC">
      <w:pPr>
        <w:rPr>
          <w:sz w:val="22"/>
          <w:szCs w:val="20"/>
        </w:rPr>
      </w:pPr>
    </w:p>
    <w:p w:rsidR="006008D2" w:rsidRPr="00C87BDC" w:rsidP="00C87BDC">
      <w:pPr>
        <w:rPr>
          <w:sz w:val="22"/>
          <w:szCs w:val="20"/>
        </w:rPr>
      </w:pPr>
      <w:r>
        <w:rPr>
          <w:sz w:val="22"/>
          <w:szCs w:val="20"/>
        </w:rPr>
        <w:t>As the cornerstone of the NHS, e</w:t>
      </w:r>
      <w:r w:rsidRPr="00EC580C">
        <w:rPr>
          <w:sz w:val="22"/>
          <w:szCs w:val="20"/>
        </w:rPr>
        <w:t xml:space="preserve">state investment must prioritise fixing and expanding existing GP premises, reflecting that </w:t>
      </w:r>
      <w:r>
        <w:rPr>
          <w:sz w:val="22"/>
          <w:szCs w:val="20"/>
        </w:rPr>
        <w:t xml:space="preserve">90% of </w:t>
      </w:r>
      <w:r>
        <w:rPr>
          <w:sz w:val="22"/>
          <w:szCs w:val="20"/>
        </w:rPr>
        <w:t xml:space="preserve">NHS </w:t>
      </w:r>
      <w:r>
        <w:rPr>
          <w:sz w:val="22"/>
          <w:szCs w:val="20"/>
        </w:rPr>
        <w:t xml:space="preserve">patient </w:t>
      </w:r>
      <w:r>
        <w:rPr>
          <w:sz w:val="22"/>
          <w:szCs w:val="20"/>
        </w:rPr>
        <w:t xml:space="preserve">contacts are delivered in primary care, </w:t>
      </w:r>
      <w:r w:rsidRPr="00EC580C">
        <w:rPr>
          <w:sz w:val="22"/>
          <w:szCs w:val="20"/>
        </w:rPr>
        <w:t xml:space="preserve">and that current </w:t>
      </w:r>
      <w:r>
        <w:rPr>
          <w:sz w:val="22"/>
          <w:szCs w:val="20"/>
        </w:rPr>
        <w:t xml:space="preserve">constraints in </w:t>
      </w:r>
      <w:r w:rsidRPr="00EC580C">
        <w:rPr>
          <w:sz w:val="22"/>
          <w:szCs w:val="20"/>
        </w:rPr>
        <w:t xml:space="preserve">space and </w:t>
      </w:r>
      <w:r>
        <w:rPr>
          <w:sz w:val="22"/>
          <w:szCs w:val="20"/>
        </w:rPr>
        <w:t xml:space="preserve">building </w:t>
      </w:r>
      <w:r w:rsidRPr="00EC580C">
        <w:rPr>
          <w:sz w:val="22"/>
          <w:szCs w:val="20"/>
        </w:rPr>
        <w:t xml:space="preserve">condition are already limiting access, continuity, workforce expansion and training. </w:t>
      </w:r>
      <w:r>
        <w:rPr>
          <w:sz w:val="22"/>
          <w:szCs w:val="20"/>
        </w:rPr>
        <w:t>There</w:t>
      </w:r>
      <w:r w:rsidRPr="00072CDA">
        <w:rPr>
          <w:sz w:val="22"/>
          <w:szCs w:val="20"/>
        </w:rPr>
        <w:t xml:space="preserve"> must be a clear priority to bring the existing general practice estate up to a safe, compliant and functional baseline, so practices can meet current demand and protect patient access. </w:t>
      </w:r>
      <w:r>
        <w:rPr>
          <w:sz w:val="22"/>
          <w:szCs w:val="20"/>
        </w:rPr>
        <w:t xml:space="preserve">It is </w:t>
      </w:r>
      <w:r>
        <w:rPr>
          <w:sz w:val="22"/>
          <w:szCs w:val="20"/>
        </w:rPr>
        <w:t xml:space="preserve">also </w:t>
      </w:r>
      <w:r>
        <w:rPr>
          <w:sz w:val="22"/>
          <w:szCs w:val="20"/>
        </w:rPr>
        <w:t>essential that c</w:t>
      </w:r>
      <w:r>
        <w:rPr>
          <w:sz w:val="22"/>
          <w:szCs w:val="20"/>
        </w:rPr>
        <w:t>o</w:t>
      </w:r>
      <w:r w:rsidRPr="00C87BDC">
        <w:rPr>
          <w:sz w:val="22"/>
          <w:szCs w:val="20"/>
        </w:rPr>
        <w:t>nsider</w:t>
      </w:r>
      <w:r>
        <w:rPr>
          <w:sz w:val="22"/>
          <w:szCs w:val="20"/>
        </w:rPr>
        <w:t>ation is given to</w:t>
      </w:r>
      <w:r w:rsidRPr="00C87BDC">
        <w:rPr>
          <w:sz w:val="22"/>
          <w:szCs w:val="20"/>
        </w:rPr>
        <w:t xml:space="preserve"> how current </w:t>
      </w:r>
      <w:r>
        <w:rPr>
          <w:sz w:val="22"/>
          <w:szCs w:val="20"/>
        </w:rPr>
        <w:t xml:space="preserve">GP </w:t>
      </w:r>
      <w:r w:rsidRPr="00C87BDC">
        <w:rPr>
          <w:sz w:val="22"/>
          <w:szCs w:val="20"/>
        </w:rPr>
        <w:t xml:space="preserve">contractual and funding arrangements interact with </w:t>
      </w:r>
      <w:r>
        <w:rPr>
          <w:sz w:val="22"/>
          <w:szCs w:val="20"/>
        </w:rPr>
        <w:t xml:space="preserve">the </w:t>
      </w:r>
      <w:r w:rsidRPr="00C87BDC">
        <w:rPr>
          <w:sz w:val="22"/>
          <w:szCs w:val="20"/>
        </w:rPr>
        <w:t>10YHP</w:t>
      </w:r>
      <w:r>
        <w:rPr>
          <w:sz w:val="22"/>
          <w:szCs w:val="20"/>
        </w:rPr>
        <w:t>'s</w:t>
      </w:r>
      <w:r w:rsidRPr="00C87BDC">
        <w:rPr>
          <w:sz w:val="22"/>
          <w:szCs w:val="20"/>
        </w:rPr>
        <w:t xml:space="preserve"> </w:t>
      </w:r>
      <w:r>
        <w:rPr>
          <w:sz w:val="22"/>
          <w:szCs w:val="20"/>
        </w:rPr>
        <w:t>premise</w:t>
      </w:r>
      <w:r>
        <w:rPr>
          <w:sz w:val="22"/>
          <w:szCs w:val="20"/>
        </w:rPr>
        <w:t xml:space="preserve"> </w:t>
      </w:r>
      <w:r w:rsidRPr="00C87BDC">
        <w:rPr>
          <w:sz w:val="22"/>
          <w:szCs w:val="20"/>
        </w:rPr>
        <w:t>expectations for modern, multidisciplinary working and service delivery, including current rent reimbursement rules, indemnity and GP exposure to long-term property liabilities.</w:t>
      </w:r>
    </w:p>
    <w:p w:rsidR="006008D2" w:rsidP="00C87BDC">
      <w:pPr>
        <w:rPr>
          <w:sz w:val="22"/>
          <w:szCs w:val="20"/>
        </w:rPr>
      </w:pPr>
    </w:p>
    <w:p w:rsidR="006008D2" w:rsidP="00E76409">
      <w:pPr>
        <w:rPr>
          <w:sz w:val="22"/>
          <w:szCs w:val="20"/>
        </w:rPr>
      </w:pPr>
      <w:r w:rsidRPr="00E76409">
        <w:rPr>
          <w:sz w:val="22"/>
        </w:rPr>
        <w:t>We note the Government’s commitment to rapidly exploring the potential to use Public Private Partnerships (PPP) to deliver certain types of primary and community health infrastructure. While we certainly need significant infrastructure investment, we will need to see further details of any new PPP models and contracts and how this will work for general practice before it is rolled out. Any proposed new PPPs for primary care must learn the lessons from past efforts, and historical issues related to NHS Prope</w:t>
      </w:r>
      <w:r w:rsidRPr="00E76409">
        <w:rPr>
          <w:sz w:val="22"/>
        </w:rPr>
        <w:t xml:space="preserve">rty Services, to ensure GPs aren’t saddled with unsustainable rents and restrictive change processes. Consideration must also be given to the cost of meeting net zero and sustainability goals in any new development or retrofitting of public estates to be used for primary care delivery. </w:t>
      </w:r>
    </w:p>
    <w:p w:rsidR="006008D2" w:rsidP="00E76409">
      <w:pPr>
        <w:rPr>
          <w:sz w:val="22"/>
          <w:szCs w:val="20"/>
        </w:rPr>
      </w:pPr>
    </w:p>
    <w:p w:rsidR="006008D2" w:rsidP="000445B9">
      <w:pPr>
        <w:rPr>
          <w:sz w:val="22"/>
          <w:szCs w:val="20"/>
        </w:rPr>
      </w:pPr>
      <w:r w:rsidRPr="00680217">
        <w:rPr>
          <w:sz w:val="22"/>
          <w:szCs w:val="20"/>
        </w:rPr>
        <w:t xml:space="preserve">Lord Darzi's </w:t>
      </w:r>
      <w:r w:rsidRPr="00EE342E">
        <w:rPr>
          <w:sz w:val="22"/>
          <w:szCs w:val="20"/>
        </w:rPr>
        <w:t>2024 Independent Investigation of the NHS in England concluded that the primary care estate is “</w:t>
      </w:r>
      <w:r w:rsidRPr="006253B6">
        <w:rPr>
          <w:i/>
          <w:sz w:val="22"/>
          <w:szCs w:val="20"/>
        </w:rPr>
        <w:t>plainly not fit for purpose</w:t>
      </w:r>
      <w:r w:rsidRPr="00EE342E">
        <w:rPr>
          <w:sz w:val="22"/>
          <w:szCs w:val="20"/>
        </w:rPr>
        <w:t xml:space="preserve">” and that urgent reform of the capital framework is needed. It noted that 20% of the </w:t>
      </w:r>
      <w:r>
        <w:rPr>
          <w:sz w:val="22"/>
          <w:szCs w:val="20"/>
        </w:rPr>
        <w:t xml:space="preserve">primary care </w:t>
      </w:r>
      <w:r w:rsidRPr="00EE342E">
        <w:rPr>
          <w:sz w:val="22"/>
          <w:szCs w:val="20"/>
        </w:rPr>
        <w:t>estate predates 1948</w:t>
      </w:r>
      <w:r>
        <w:rPr>
          <w:sz w:val="22"/>
          <w:szCs w:val="20"/>
        </w:rPr>
        <w:t xml:space="preserve">, </w:t>
      </w:r>
      <w:r w:rsidRPr="00EE342E">
        <w:rPr>
          <w:sz w:val="22"/>
          <w:szCs w:val="20"/>
        </w:rPr>
        <w:t xml:space="preserve">53% is more than 30 years old, and that LIFT (PFI-type) arrangements can leave </w:t>
      </w:r>
      <w:r>
        <w:rPr>
          <w:sz w:val="22"/>
          <w:szCs w:val="20"/>
        </w:rPr>
        <w:t>GPs</w:t>
      </w:r>
      <w:r w:rsidRPr="00EE342E">
        <w:rPr>
          <w:sz w:val="22"/>
          <w:szCs w:val="20"/>
        </w:rPr>
        <w:t xml:space="preserve"> with limited control of space and high charges.</w:t>
      </w:r>
      <w:r>
        <w:rPr>
          <w:rStyle w:val="EndnoteReference"/>
          <w:sz w:val="22"/>
          <w:szCs w:val="20"/>
        </w:rPr>
        <w:endnoteReference w:id="15"/>
      </w:r>
    </w:p>
    <w:p w:rsidR="006008D2" w:rsidRPr="00817BE0" w:rsidP="00817BE0">
      <w:pPr>
        <w:pStyle w:val="ListParagraph"/>
        <w:numPr>
          <w:ilvl w:val="0"/>
          <w:numId w:val="5"/>
        </w:numPr>
        <w:rPr>
          <w:sz w:val="22"/>
          <w:szCs w:val="20"/>
        </w:rPr>
      </w:pPr>
      <w:r>
        <w:rPr>
          <w:i/>
          <w:iCs/>
          <w:sz w:val="22"/>
          <w:szCs w:val="20"/>
        </w:rPr>
        <w:t>‘</w:t>
      </w:r>
      <w:r w:rsidRPr="00EE4684">
        <w:rPr>
          <w:i/>
          <w:iCs/>
          <w:sz w:val="22"/>
          <w:szCs w:val="20"/>
        </w:rPr>
        <w:t>GPs are seeing more patients than ever before, but with the number of fully qualified GPs relative to the population falling, waiting times are rising and patient satisfaction is at its lowest ever level.</w:t>
      </w:r>
      <w:r>
        <w:rPr>
          <w:i/>
          <w:iCs/>
          <w:sz w:val="22"/>
          <w:szCs w:val="20"/>
        </w:rPr>
        <w:t xml:space="preserve"> </w:t>
      </w:r>
      <w:r w:rsidRPr="00EE4684">
        <w:rPr>
          <w:i/>
          <w:iCs/>
          <w:sz w:val="22"/>
          <w:szCs w:val="20"/>
        </w:rPr>
        <w:t xml:space="preserve">There are huge and unwarranted variations in the number of patients per GP, and shortages are </w:t>
      </w:r>
      <w:r w:rsidRPr="00EE4684">
        <w:rPr>
          <w:i/>
          <w:iCs/>
          <w:sz w:val="22"/>
          <w:szCs w:val="20"/>
        </w:rPr>
        <w:t>particularly acute in deprived communities</w:t>
      </w:r>
      <w:r>
        <w:rPr>
          <w:i/>
          <w:iCs/>
          <w:sz w:val="22"/>
          <w:szCs w:val="20"/>
        </w:rPr>
        <w:t xml:space="preserve">… </w:t>
      </w:r>
      <w:r w:rsidRPr="00D33A61">
        <w:rPr>
          <w:i/>
          <w:iCs/>
          <w:sz w:val="22"/>
          <w:szCs w:val="20"/>
        </w:rPr>
        <w:t>patient satisfaction is better when there are fewer patients per GP.</w:t>
      </w:r>
      <w:r>
        <w:rPr>
          <w:i/>
          <w:iCs/>
          <w:sz w:val="22"/>
          <w:szCs w:val="20"/>
        </w:rPr>
        <w:t>’</w:t>
      </w:r>
      <w:r>
        <w:rPr>
          <w:rStyle w:val="EndnoteReference"/>
          <w:i/>
          <w:iCs/>
          <w:sz w:val="22"/>
          <w:szCs w:val="20"/>
        </w:rPr>
        <w:endnoteReference w:id="16"/>
      </w:r>
    </w:p>
    <w:p w:rsidR="006008D2" w:rsidRPr="00817BE0" w:rsidP="00817BE0">
      <w:pPr>
        <w:ind w:left="360"/>
        <w:rPr>
          <w:sz w:val="22"/>
          <w:szCs w:val="20"/>
        </w:rPr>
      </w:pPr>
    </w:p>
    <w:p w:rsidR="006008D2" w:rsidRPr="00677AF1" w:rsidP="00677AF1">
      <w:pPr>
        <w:rPr>
          <w:sz w:val="22"/>
          <w:szCs w:val="20"/>
        </w:rPr>
      </w:pPr>
      <w:r>
        <w:rPr>
          <w:sz w:val="22"/>
          <w:szCs w:val="20"/>
        </w:rPr>
        <w:t>In</w:t>
      </w:r>
      <w:r>
        <w:rPr>
          <w:sz w:val="22"/>
          <w:szCs w:val="20"/>
        </w:rPr>
        <w:t xml:space="preserve">adequate GP </w:t>
      </w:r>
      <w:r>
        <w:rPr>
          <w:sz w:val="22"/>
          <w:szCs w:val="20"/>
        </w:rPr>
        <w:t>premises</w:t>
      </w:r>
      <w:r w:rsidRPr="00DB6056">
        <w:rPr>
          <w:sz w:val="22"/>
          <w:szCs w:val="20"/>
        </w:rPr>
        <w:t xml:space="preserve"> limit how many patients can be seen safely and efficiently, and whether practices can accommodate trainees and </w:t>
      </w:r>
      <w:r>
        <w:rPr>
          <w:sz w:val="22"/>
          <w:szCs w:val="20"/>
        </w:rPr>
        <w:t xml:space="preserve">MDTs </w:t>
      </w:r>
      <w:r w:rsidRPr="00DB6056">
        <w:rPr>
          <w:sz w:val="22"/>
          <w:szCs w:val="20"/>
        </w:rPr>
        <w:t xml:space="preserve">as </w:t>
      </w:r>
      <w:r>
        <w:rPr>
          <w:sz w:val="22"/>
          <w:szCs w:val="20"/>
        </w:rPr>
        <w:t xml:space="preserve">more </w:t>
      </w:r>
      <w:r w:rsidRPr="00DB6056">
        <w:rPr>
          <w:sz w:val="22"/>
          <w:szCs w:val="20"/>
        </w:rPr>
        <w:t>care shifts into the community</w:t>
      </w:r>
      <w:r>
        <w:rPr>
          <w:sz w:val="22"/>
          <w:szCs w:val="20"/>
        </w:rPr>
        <w:t xml:space="preserve">, </w:t>
      </w:r>
      <w:r>
        <w:rPr>
          <w:sz w:val="22"/>
          <w:szCs w:val="20"/>
        </w:rPr>
        <w:t xml:space="preserve">particularly in </w:t>
      </w:r>
      <w:r>
        <w:fldChar w:fldCharType="begin"/>
      </w:r>
      <w:r>
        <w:instrText xml:space="preserve"> HYPERLINK "https://www.rcgp.org.uk/News/research-statement-conference-2024" </w:instrText>
      </w:r>
      <w:r>
        <w:fldChar w:fldCharType="separate"/>
      </w:r>
      <w:r w:rsidRPr="00A017CF">
        <w:rPr>
          <w:rStyle w:val="Hyperlink"/>
          <w:sz w:val="22"/>
          <w:szCs w:val="20"/>
        </w:rPr>
        <w:t>areas of high deprivation</w:t>
      </w:r>
      <w:r>
        <w:fldChar w:fldCharType="end"/>
      </w:r>
      <w:r>
        <w:rPr>
          <w:sz w:val="22"/>
          <w:szCs w:val="20"/>
        </w:rPr>
        <w:t xml:space="preserve">. </w:t>
      </w:r>
      <w:r w:rsidRPr="00677AF1">
        <w:rPr>
          <w:sz w:val="22"/>
          <w:szCs w:val="20"/>
        </w:rPr>
        <w:t>These pressures underline the need for clear criteria for prioritising capital investment, focusing on areas where estate constraints most undermine access, continuity, workforce sustainability and the ability to deliver the Neighbourhood Health Service model.</w:t>
      </w:r>
    </w:p>
    <w:p w:rsidR="006008D2" w:rsidP="00F811C2">
      <w:pPr>
        <w:rPr>
          <w:sz w:val="22"/>
          <w:szCs w:val="20"/>
        </w:rPr>
      </w:pPr>
    </w:p>
    <w:p w:rsidR="006008D2" w:rsidRPr="00F811C2" w:rsidP="002137FC">
      <w:pPr>
        <w:rPr>
          <w:sz w:val="22"/>
          <w:szCs w:val="20"/>
        </w:rPr>
      </w:pPr>
      <w:r>
        <w:rPr>
          <w:sz w:val="22"/>
          <w:szCs w:val="20"/>
        </w:rPr>
        <w:t xml:space="preserve">As </w:t>
      </w:r>
      <w:r>
        <w:rPr>
          <w:sz w:val="22"/>
          <w:szCs w:val="20"/>
        </w:rPr>
        <w:t>addressed</w:t>
      </w:r>
      <w:r>
        <w:rPr>
          <w:sz w:val="22"/>
          <w:szCs w:val="20"/>
        </w:rPr>
        <w:t xml:space="preserve"> in our </w:t>
      </w:r>
      <w:r>
        <w:fldChar w:fldCharType="begin"/>
      </w:r>
      <w:r>
        <w:instrText xml:space="preserve"> HYPERLINK "https://www.rcgp.org.uk/getmedia/87c727b3-332c-4521-a583-a9afec827b47/RCGP-MP-Briefing-Report-Stage-Planning-Infrastructure-Bill.pdf" </w:instrText>
      </w:r>
      <w:r>
        <w:fldChar w:fldCharType="separate"/>
      </w:r>
      <w:r w:rsidRPr="00D32B27">
        <w:rPr>
          <w:rStyle w:val="Hyperlink"/>
          <w:sz w:val="22"/>
          <w:szCs w:val="20"/>
        </w:rPr>
        <w:t>RCGP MP Briefing</w:t>
      </w:r>
      <w:r>
        <w:rPr>
          <w:rStyle w:val="Hyperlink"/>
          <w:sz w:val="22"/>
          <w:szCs w:val="20"/>
        </w:rPr>
        <w:t>:</w:t>
      </w:r>
      <w:r>
        <w:rPr>
          <w:rStyle w:val="Hyperlink"/>
          <w:sz w:val="22"/>
          <w:szCs w:val="20"/>
        </w:rPr>
        <w:t xml:space="preserve"> </w:t>
      </w:r>
      <w:r w:rsidRPr="00D32B27">
        <w:rPr>
          <w:rStyle w:val="Hyperlink"/>
          <w:sz w:val="22"/>
          <w:szCs w:val="20"/>
        </w:rPr>
        <w:t>Planning Infrastructure Bill</w:t>
      </w:r>
      <w:r>
        <w:fldChar w:fldCharType="end"/>
      </w:r>
      <w:r>
        <w:rPr>
          <w:sz w:val="22"/>
          <w:szCs w:val="20"/>
        </w:rPr>
        <w:t>, t</w:t>
      </w:r>
      <w:r w:rsidRPr="001A347F">
        <w:rPr>
          <w:sz w:val="22"/>
          <w:szCs w:val="20"/>
        </w:rPr>
        <w:t>he limited physical capacity of GP estates hinder</w:t>
      </w:r>
      <w:r>
        <w:rPr>
          <w:sz w:val="22"/>
          <w:szCs w:val="20"/>
        </w:rPr>
        <w:t xml:space="preserve">s </w:t>
      </w:r>
      <w:r w:rsidRPr="001A347F">
        <w:rPr>
          <w:sz w:val="22"/>
          <w:szCs w:val="20"/>
        </w:rPr>
        <w:t xml:space="preserve">the service's ability to meet growing patient demand, which is particularly acute in areas of rapid housing growth. Therefore, it is essential that any new development is accompanied by sufficient primary care infrastructure to provide care to patients locally, and that this is </w:t>
      </w:r>
      <w:r>
        <w:rPr>
          <w:sz w:val="22"/>
          <w:szCs w:val="20"/>
        </w:rPr>
        <w:t xml:space="preserve">mutually </w:t>
      </w:r>
      <w:r w:rsidRPr="001A347F">
        <w:rPr>
          <w:sz w:val="22"/>
          <w:szCs w:val="20"/>
        </w:rPr>
        <w:t xml:space="preserve">supported </w:t>
      </w:r>
      <w:r>
        <w:rPr>
          <w:sz w:val="22"/>
          <w:szCs w:val="20"/>
        </w:rPr>
        <w:t>through</w:t>
      </w:r>
      <w:r w:rsidRPr="001A347F">
        <w:rPr>
          <w:sz w:val="22"/>
          <w:szCs w:val="20"/>
        </w:rPr>
        <w:t xml:space="preserve"> planning </w:t>
      </w:r>
      <w:r>
        <w:rPr>
          <w:sz w:val="22"/>
          <w:szCs w:val="20"/>
        </w:rPr>
        <w:t>rules and authorities</w:t>
      </w:r>
      <w:r w:rsidRPr="001A347F">
        <w:rPr>
          <w:sz w:val="22"/>
          <w:szCs w:val="20"/>
        </w:rPr>
        <w:t xml:space="preserve">. </w:t>
      </w:r>
      <w:r w:rsidRPr="00A67288">
        <w:rPr>
          <w:sz w:val="22"/>
          <w:szCs w:val="20"/>
        </w:rPr>
        <w:t xml:space="preserve">As the </w:t>
      </w:r>
      <w:r>
        <w:rPr>
          <w:sz w:val="22"/>
          <w:szCs w:val="20"/>
        </w:rPr>
        <w:t>G</w:t>
      </w:r>
      <w:r w:rsidRPr="00A67288">
        <w:rPr>
          <w:sz w:val="22"/>
          <w:szCs w:val="20"/>
        </w:rPr>
        <w:t>overnment look to deliver 1.5 million new homes</w:t>
      </w:r>
      <w:r>
        <w:rPr>
          <w:sz w:val="22"/>
          <w:szCs w:val="20"/>
        </w:rPr>
        <w:t xml:space="preserve"> during the current parliament</w:t>
      </w:r>
      <w:r w:rsidRPr="00A67288">
        <w:rPr>
          <w:sz w:val="22"/>
          <w:szCs w:val="20"/>
        </w:rPr>
        <w:t xml:space="preserve">, it is vital that local planning authorities and their planning teams are given the necessary powers and resources so they can properly hold developers to account and ensure that sufficient primary healthcare infrastructure is not only prioritised in the planning process but also delivered. </w:t>
      </w:r>
      <w:r>
        <w:rPr>
          <w:sz w:val="22"/>
          <w:szCs w:val="20"/>
        </w:rPr>
        <w:t xml:space="preserve">Though </w:t>
      </w:r>
      <w:r>
        <w:rPr>
          <w:sz w:val="22"/>
          <w:szCs w:val="20"/>
        </w:rPr>
        <w:t>not adopted, w</w:t>
      </w:r>
      <w:r>
        <w:rPr>
          <w:sz w:val="22"/>
          <w:szCs w:val="20"/>
        </w:rPr>
        <w:t>e</w:t>
      </w:r>
      <w:r>
        <w:rPr>
          <w:sz w:val="22"/>
          <w:szCs w:val="20"/>
        </w:rPr>
        <w:t xml:space="preserve"> </w:t>
      </w:r>
      <w:r>
        <w:rPr>
          <w:sz w:val="22"/>
          <w:szCs w:val="20"/>
        </w:rPr>
        <w:t>supported a</w:t>
      </w:r>
      <w:r>
        <w:rPr>
          <w:sz w:val="22"/>
          <w:szCs w:val="20"/>
        </w:rPr>
        <w:t xml:space="preserve">n </w:t>
      </w:r>
      <w:r>
        <w:rPr>
          <w:sz w:val="22"/>
          <w:szCs w:val="20"/>
        </w:rPr>
        <w:t xml:space="preserve">amendment to </w:t>
      </w:r>
      <w:r>
        <w:rPr>
          <w:sz w:val="22"/>
          <w:szCs w:val="20"/>
        </w:rPr>
        <w:t xml:space="preserve">the </w:t>
      </w:r>
      <w:r w:rsidRPr="00D712BD">
        <w:rPr>
          <w:sz w:val="22"/>
          <w:szCs w:val="20"/>
        </w:rPr>
        <w:t>Planning and Infrastructure Bill</w:t>
      </w:r>
      <w:r>
        <w:rPr>
          <w:sz w:val="22"/>
          <w:szCs w:val="20"/>
        </w:rPr>
        <w:t xml:space="preserve"> </w:t>
      </w:r>
      <w:r>
        <w:rPr>
          <w:sz w:val="22"/>
          <w:szCs w:val="20"/>
        </w:rPr>
        <w:t>(</w:t>
      </w:r>
      <w:r>
        <w:rPr>
          <w:sz w:val="22"/>
          <w:szCs w:val="20"/>
        </w:rPr>
        <w:t>now Act</w:t>
      </w:r>
      <w:r>
        <w:rPr>
          <w:sz w:val="22"/>
          <w:szCs w:val="20"/>
        </w:rPr>
        <w:t>)</w:t>
      </w:r>
      <w:r>
        <w:rPr>
          <w:sz w:val="22"/>
          <w:szCs w:val="20"/>
        </w:rPr>
        <w:t xml:space="preserve"> to </w:t>
      </w:r>
      <w:r>
        <w:rPr>
          <w:sz w:val="22"/>
          <w:szCs w:val="20"/>
        </w:rPr>
        <w:t>include a clause</w:t>
      </w:r>
      <w:r w:rsidRPr="00236244">
        <w:rPr>
          <w:sz w:val="22"/>
          <w:szCs w:val="20"/>
        </w:rPr>
        <w:t xml:space="preserve"> to</w:t>
      </w:r>
      <w:r>
        <w:rPr>
          <w:sz w:val="22"/>
          <w:szCs w:val="20"/>
        </w:rPr>
        <w:t xml:space="preserve"> explicitly include g</w:t>
      </w:r>
      <w:r w:rsidRPr="00EF60E7">
        <w:rPr>
          <w:sz w:val="22"/>
          <w:szCs w:val="20"/>
        </w:rPr>
        <w:t xml:space="preserve">eneral </w:t>
      </w:r>
      <w:r>
        <w:rPr>
          <w:sz w:val="22"/>
          <w:szCs w:val="20"/>
        </w:rPr>
        <w:t>p</w:t>
      </w:r>
      <w:r w:rsidRPr="00EF60E7">
        <w:rPr>
          <w:sz w:val="22"/>
          <w:szCs w:val="20"/>
        </w:rPr>
        <w:t>ractice clinics</w:t>
      </w:r>
      <w:r>
        <w:rPr>
          <w:sz w:val="22"/>
          <w:szCs w:val="20"/>
        </w:rPr>
        <w:t xml:space="preserve"> within the definition of </w:t>
      </w:r>
      <w:r w:rsidRPr="00D712BD">
        <w:rPr>
          <w:sz w:val="22"/>
          <w:szCs w:val="20"/>
        </w:rPr>
        <w:t>“local infrastructure</w:t>
      </w:r>
      <w:r w:rsidRPr="00D712BD">
        <w:rPr>
          <w:sz w:val="22"/>
          <w:szCs w:val="20"/>
        </w:rPr>
        <w:t>”</w:t>
      </w:r>
      <w:r>
        <w:rPr>
          <w:sz w:val="22"/>
          <w:szCs w:val="20"/>
        </w:rPr>
        <w:t xml:space="preserve"> and</w:t>
      </w:r>
      <w:r w:rsidRPr="00236244">
        <w:rPr>
          <w:sz w:val="22"/>
          <w:szCs w:val="20"/>
        </w:rPr>
        <w:t xml:space="preserve"> ensu</w:t>
      </w:r>
      <w:r w:rsidRPr="00236244">
        <w:rPr>
          <w:sz w:val="22"/>
          <w:szCs w:val="20"/>
        </w:rPr>
        <w:t>re that commitments to provide local infrastructure such as schools and GP clinics, approved as part of a development, are permanent and legally binding.</w:t>
      </w:r>
    </w:p>
    <w:p w:rsidR="006008D2" w:rsidRPr="00FE71E0" w:rsidP="00E76409">
      <w:pPr>
        <w:rPr>
          <w:i/>
          <w:iCs/>
          <w:sz w:val="22"/>
          <w:szCs w:val="20"/>
        </w:rPr>
      </w:pPr>
    </w:p>
    <w:p w:rsidR="006008D2" w:rsidRPr="00ED5FDF" w:rsidP="00ED5FDF">
      <w:pPr>
        <w:numPr>
          <w:ilvl w:val="0"/>
          <w:numId w:val="20"/>
        </w:numPr>
        <w:spacing w:before="240"/>
        <w:rPr>
          <w:i/>
          <w:color w:val="0070C0"/>
          <w:sz w:val="22"/>
          <w:szCs w:val="20"/>
        </w:rPr>
      </w:pPr>
      <w:r w:rsidRPr="00ED5FDF">
        <w:rPr>
          <w:i/>
          <w:color w:val="0070C0"/>
          <w:sz w:val="22"/>
          <w:szCs w:val="20"/>
        </w:rPr>
        <w:t>What lessons can be taken from pilots of Neighbourhood Health Centres for the development of an NHS estate that supports the delivery of the Neighbourhood Health Service? </w:t>
      </w:r>
    </w:p>
    <w:p w:rsidR="006008D2" w:rsidP="00BD092E">
      <w:pPr>
        <w:rPr>
          <w:sz w:val="22"/>
          <w:szCs w:val="20"/>
        </w:rPr>
      </w:pPr>
    </w:p>
    <w:p w:rsidR="006008D2" w:rsidP="00BD092E">
      <w:pPr>
        <w:rPr>
          <w:sz w:val="22"/>
          <w:szCs w:val="20"/>
        </w:rPr>
      </w:pPr>
      <w:r w:rsidRPr="00E43E83">
        <w:rPr>
          <w:sz w:val="22"/>
          <w:szCs w:val="20"/>
        </w:rPr>
        <w:t>The RCGP supports evidence</w:t>
      </w:r>
      <w:r w:rsidRPr="00E43E83">
        <w:rPr>
          <w:sz w:val="22"/>
          <w:szCs w:val="20"/>
        </w:rPr>
        <w:noBreakHyphen/>
        <w:t xml:space="preserve">based </w:t>
      </w:r>
      <w:r>
        <w:rPr>
          <w:sz w:val="22"/>
          <w:szCs w:val="20"/>
        </w:rPr>
        <w:t>approaches</w:t>
      </w:r>
      <w:r w:rsidRPr="00E43E83">
        <w:rPr>
          <w:sz w:val="22"/>
          <w:szCs w:val="20"/>
        </w:rPr>
        <w:t xml:space="preserve">, </w:t>
      </w:r>
      <w:r w:rsidRPr="00BD092E">
        <w:rPr>
          <w:sz w:val="22"/>
          <w:szCs w:val="20"/>
        </w:rPr>
        <w:t>but</w:t>
      </w:r>
      <w:r w:rsidRPr="00BD092E">
        <w:rPr>
          <w:sz w:val="22"/>
          <w:szCs w:val="20"/>
        </w:rPr>
        <w:t xml:space="preserve"> </w:t>
      </w:r>
      <w:r>
        <w:rPr>
          <w:sz w:val="22"/>
          <w:szCs w:val="20"/>
        </w:rPr>
        <w:t xml:space="preserve">are yet to see </w:t>
      </w:r>
      <w:r>
        <w:rPr>
          <w:sz w:val="22"/>
          <w:szCs w:val="20"/>
        </w:rPr>
        <w:t>a</w:t>
      </w:r>
      <w:r>
        <w:rPr>
          <w:sz w:val="22"/>
          <w:szCs w:val="20"/>
        </w:rPr>
        <w:t xml:space="preserve"> </w:t>
      </w:r>
      <w:r w:rsidRPr="00BD092E">
        <w:rPr>
          <w:sz w:val="22"/>
          <w:szCs w:val="20"/>
        </w:rPr>
        <w:t xml:space="preserve">published </w:t>
      </w:r>
      <w:r>
        <w:rPr>
          <w:sz w:val="22"/>
          <w:szCs w:val="20"/>
        </w:rPr>
        <w:t>evaluation</w:t>
      </w:r>
      <w:r w:rsidRPr="00BD092E">
        <w:rPr>
          <w:sz w:val="22"/>
          <w:szCs w:val="20"/>
        </w:rPr>
        <w:t xml:space="preserve"> </w:t>
      </w:r>
      <w:r>
        <w:rPr>
          <w:sz w:val="22"/>
          <w:szCs w:val="20"/>
        </w:rPr>
        <w:t>that collate</w:t>
      </w:r>
      <w:r>
        <w:rPr>
          <w:sz w:val="22"/>
          <w:szCs w:val="20"/>
        </w:rPr>
        <w:t xml:space="preserve">s findings from </w:t>
      </w:r>
      <w:r w:rsidRPr="00E43E83">
        <w:rPr>
          <w:sz w:val="22"/>
          <w:szCs w:val="20"/>
        </w:rPr>
        <w:t>the National Neighbourhood Health Implementation Programme</w:t>
      </w:r>
      <w:r>
        <w:rPr>
          <w:sz w:val="22"/>
          <w:szCs w:val="20"/>
        </w:rPr>
        <w:t xml:space="preserve"> </w:t>
      </w:r>
      <w:r w:rsidRPr="006208A5">
        <w:rPr>
          <w:sz w:val="22"/>
          <w:szCs w:val="20"/>
        </w:rPr>
        <w:t>(NNHIP)</w:t>
      </w:r>
      <w:r>
        <w:rPr>
          <w:sz w:val="22"/>
          <w:szCs w:val="20"/>
        </w:rPr>
        <w:t xml:space="preserve"> pilots</w:t>
      </w:r>
      <w:r w:rsidRPr="00E43E83">
        <w:rPr>
          <w:sz w:val="22"/>
          <w:szCs w:val="20"/>
        </w:rPr>
        <w:t xml:space="preserve">. </w:t>
      </w:r>
      <w:r>
        <w:rPr>
          <w:sz w:val="22"/>
          <w:szCs w:val="20"/>
        </w:rPr>
        <w:t xml:space="preserve">Without </w:t>
      </w:r>
      <w:r>
        <w:rPr>
          <w:sz w:val="22"/>
          <w:szCs w:val="20"/>
        </w:rPr>
        <w:t xml:space="preserve">public </w:t>
      </w:r>
      <w:r>
        <w:rPr>
          <w:sz w:val="22"/>
          <w:szCs w:val="20"/>
        </w:rPr>
        <w:t xml:space="preserve">transparency, we do not believe Parliament can </w:t>
      </w:r>
      <w:r>
        <w:rPr>
          <w:sz w:val="22"/>
          <w:szCs w:val="20"/>
        </w:rPr>
        <w:t xml:space="preserve">make informed assessments </w:t>
      </w:r>
      <w:r>
        <w:rPr>
          <w:sz w:val="22"/>
          <w:szCs w:val="20"/>
        </w:rPr>
        <w:t>of</w:t>
      </w:r>
      <w:r w:rsidRPr="00E43E83">
        <w:rPr>
          <w:sz w:val="22"/>
          <w:szCs w:val="20"/>
        </w:rPr>
        <w:t xml:space="preserve"> estates, access, continuity or inequalitie</w:t>
      </w:r>
      <w:r>
        <w:rPr>
          <w:sz w:val="22"/>
          <w:szCs w:val="20"/>
        </w:rPr>
        <w:t>s</w:t>
      </w:r>
      <w:r w:rsidRPr="00E43E83">
        <w:rPr>
          <w:sz w:val="22"/>
          <w:szCs w:val="20"/>
        </w:rPr>
        <w:t xml:space="preserve">. We urge the Committee to recommend that </w:t>
      </w:r>
      <w:r>
        <w:rPr>
          <w:sz w:val="22"/>
          <w:szCs w:val="20"/>
        </w:rPr>
        <w:t xml:space="preserve">DHSC and NHSE </w:t>
      </w:r>
      <w:r w:rsidRPr="00E43E83">
        <w:rPr>
          <w:sz w:val="22"/>
          <w:szCs w:val="20"/>
        </w:rPr>
        <w:t>publish the evaluation framework and results</w:t>
      </w:r>
      <w:r>
        <w:rPr>
          <w:sz w:val="22"/>
          <w:szCs w:val="20"/>
        </w:rPr>
        <w:t xml:space="preserve"> across the </w:t>
      </w:r>
      <w:r w:rsidRPr="006208A5">
        <w:rPr>
          <w:sz w:val="22"/>
          <w:szCs w:val="20"/>
        </w:rPr>
        <w:t xml:space="preserve">43 </w:t>
      </w:r>
      <w:r>
        <w:rPr>
          <w:sz w:val="22"/>
          <w:szCs w:val="20"/>
        </w:rPr>
        <w:t>‘</w:t>
      </w:r>
      <w:r w:rsidRPr="006208A5">
        <w:rPr>
          <w:sz w:val="22"/>
          <w:szCs w:val="20"/>
        </w:rPr>
        <w:t>Wave One</w:t>
      </w:r>
      <w:r>
        <w:rPr>
          <w:sz w:val="22"/>
          <w:szCs w:val="20"/>
        </w:rPr>
        <w:t>’</w:t>
      </w:r>
      <w:r w:rsidRPr="006208A5">
        <w:rPr>
          <w:sz w:val="22"/>
          <w:szCs w:val="20"/>
        </w:rPr>
        <w:t xml:space="preserve"> NNHIP</w:t>
      </w:r>
      <w:r>
        <w:rPr>
          <w:sz w:val="22"/>
          <w:szCs w:val="20"/>
        </w:rPr>
        <w:t xml:space="preserve"> </w:t>
      </w:r>
      <w:r>
        <w:rPr>
          <w:sz w:val="22"/>
          <w:szCs w:val="20"/>
        </w:rPr>
        <w:t xml:space="preserve">‘Place’ </w:t>
      </w:r>
      <w:r>
        <w:rPr>
          <w:sz w:val="22"/>
          <w:szCs w:val="20"/>
        </w:rPr>
        <w:t>sites</w:t>
      </w:r>
      <w:r w:rsidRPr="00E43E83">
        <w:rPr>
          <w:sz w:val="22"/>
          <w:szCs w:val="20"/>
        </w:rPr>
        <w:t>, including an estates annex detailing capital and revenue needs, utilisation, patient experience and safety data, digital requirements, and effects on deprived and rural communities</w:t>
      </w:r>
      <w:r>
        <w:rPr>
          <w:sz w:val="22"/>
          <w:szCs w:val="20"/>
        </w:rPr>
        <w:t>.</w:t>
      </w:r>
    </w:p>
    <w:p w:rsidR="006008D2" w:rsidRPr="000B2832" w:rsidP="002F5BD9">
      <w:pPr>
        <w:rPr>
          <w:sz w:val="22"/>
          <w:szCs w:val="20"/>
        </w:rPr>
      </w:pPr>
    </w:p>
    <w:p w:rsidR="006008D2" w:rsidRPr="00ED5FDF" w:rsidP="00ED5FDF">
      <w:pPr>
        <w:numPr>
          <w:ilvl w:val="0"/>
          <w:numId w:val="20"/>
        </w:numPr>
        <w:spacing w:before="240"/>
        <w:rPr>
          <w:i/>
          <w:color w:val="0070C0"/>
          <w:sz w:val="22"/>
          <w:szCs w:val="20"/>
        </w:rPr>
      </w:pPr>
      <w:r w:rsidRPr="00ED5FDF">
        <w:rPr>
          <w:i/>
          <w:color w:val="0070C0"/>
          <w:sz w:val="22"/>
          <w:szCs w:val="20"/>
        </w:rPr>
        <w:t>How could non-NHS settings or infrastructure be used to support the delivery of care in neighbourhood settings, and what arrangements would be needed to facilitate it?</w:t>
      </w:r>
    </w:p>
    <w:p w:rsidR="006008D2" w:rsidRPr="00ED5FDF" w:rsidP="005D35B2">
      <w:pPr>
        <w:pStyle w:val="ListParagraph"/>
        <w:numPr>
          <w:ilvl w:val="0"/>
          <w:numId w:val="26"/>
        </w:numPr>
        <w:rPr>
          <w:i/>
          <w:color w:val="0070C0"/>
          <w:sz w:val="22"/>
          <w:szCs w:val="20"/>
        </w:rPr>
      </w:pPr>
      <w:r w:rsidRPr="00ED5FDF">
        <w:rPr>
          <w:i/>
          <w:color w:val="0070C0"/>
          <w:sz w:val="22"/>
          <w:szCs w:val="20"/>
        </w:rPr>
        <w:t>What are the challenges of delivering care services in these settings and how would they be addressed? </w:t>
      </w:r>
    </w:p>
    <w:p w:rsidR="006008D2" w:rsidRPr="009E6F25" w:rsidP="009E6F25">
      <w:pPr>
        <w:rPr>
          <w:sz w:val="22"/>
          <w:szCs w:val="20"/>
        </w:rPr>
      </w:pPr>
    </w:p>
    <w:p w:rsidR="006008D2" w:rsidP="008D657A">
      <w:pPr>
        <w:rPr>
          <w:sz w:val="22"/>
          <w:szCs w:val="20"/>
        </w:rPr>
      </w:pPr>
      <w:r>
        <w:rPr>
          <w:sz w:val="22"/>
          <w:szCs w:val="20"/>
        </w:rPr>
        <w:t xml:space="preserve">The </w:t>
      </w:r>
      <w:r w:rsidRPr="00613DB5">
        <w:rPr>
          <w:sz w:val="22"/>
          <w:szCs w:val="20"/>
        </w:rPr>
        <w:t xml:space="preserve">RCGP recognises </w:t>
      </w:r>
      <w:r>
        <w:rPr>
          <w:sz w:val="22"/>
          <w:szCs w:val="20"/>
        </w:rPr>
        <w:t xml:space="preserve">that </w:t>
      </w:r>
      <w:r w:rsidRPr="00613DB5">
        <w:rPr>
          <w:sz w:val="22"/>
          <w:szCs w:val="20"/>
        </w:rPr>
        <w:t xml:space="preserve">non-NHS </w:t>
      </w:r>
      <w:r>
        <w:rPr>
          <w:sz w:val="22"/>
          <w:szCs w:val="20"/>
        </w:rPr>
        <w:t>infrastructure</w:t>
      </w:r>
      <w:r w:rsidRPr="00613DB5">
        <w:rPr>
          <w:sz w:val="22"/>
          <w:szCs w:val="20"/>
        </w:rPr>
        <w:t xml:space="preserve"> </w:t>
      </w:r>
      <w:r>
        <w:rPr>
          <w:sz w:val="22"/>
          <w:szCs w:val="20"/>
        </w:rPr>
        <w:t>could be developed to support care in the community</w:t>
      </w:r>
      <w:r w:rsidRPr="00613DB5">
        <w:rPr>
          <w:sz w:val="22"/>
          <w:szCs w:val="20"/>
        </w:rPr>
        <w:t>,</w:t>
      </w:r>
      <w:r>
        <w:rPr>
          <w:sz w:val="22"/>
          <w:szCs w:val="20"/>
        </w:rPr>
        <w:t xml:space="preserve"> </w:t>
      </w:r>
      <w:r>
        <w:rPr>
          <w:sz w:val="22"/>
          <w:szCs w:val="20"/>
        </w:rPr>
        <w:t>al</w:t>
      </w:r>
      <w:r>
        <w:rPr>
          <w:sz w:val="22"/>
          <w:szCs w:val="20"/>
        </w:rPr>
        <w:t xml:space="preserve">though assert that </w:t>
      </w:r>
      <w:r w:rsidRPr="00613DB5">
        <w:rPr>
          <w:sz w:val="22"/>
          <w:szCs w:val="20"/>
        </w:rPr>
        <w:t xml:space="preserve">any use must be carefully scoped, and should not compromise core general practice </w:t>
      </w:r>
      <w:r>
        <w:rPr>
          <w:sz w:val="22"/>
          <w:szCs w:val="20"/>
        </w:rPr>
        <w:t>nor</w:t>
      </w:r>
      <w:r>
        <w:rPr>
          <w:sz w:val="22"/>
          <w:szCs w:val="20"/>
        </w:rPr>
        <w:t xml:space="preserve"> the ability </w:t>
      </w:r>
      <w:r>
        <w:rPr>
          <w:sz w:val="22"/>
          <w:szCs w:val="20"/>
        </w:rPr>
        <w:t xml:space="preserve">for </w:t>
      </w:r>
      <w:r>
        <w:rPr>
          <w:sz w:val="22"/>
          <w:szCs w:val="20"/>
        </w:rPr>
        <w:t>patient</w:t>
      </w:r>
      <w:r>
        <w:rPr>
          <w:sz w:val="22"/>
          <w:szCs w:val="20"/>
        </w:rPr>
        <w:t xml:space="preserve">s to </w:t>
      </w:r>
      <w:r>
        <w:rPr>
          <w:sz w:val="22"/>
          <w:szCs w:val="20"/>
        </w:rPr>
        <w:t xml:space="preserve">register with a GP and freely access the health care they need close to home. </w:t>
      </w:r>
    </w:p>
    <w:p w:rsidR="006008D2" w:rsidP="008D657A">
      <w:pPr>
        <w:rPr>
          <w:sz w:val="22"/>
          <w:szCs w:val="20"/>
        </w:rPr>
      </w:pPr>
    </w:p>
    <w:p w:rsidR="006008D2" w:rsidP="00F5341E">
      <w:pPr>
        <w:rPr>
          <w:sz w:val="22"/>
          <w:szCs w:val="20"/>
        </w:rPr>
      </w:pPr>
      <w:r w:rsidRPr="006A0DC9">
        <w:rPr>
          <w:sz w:val="22"/>
          <w:szCs w:val="20"/>
        </w:rPr>
        <w:t xml:space="preserve">Non-NHS community settings such as libraries, schools, community centres, town halls and faith-based venues could be explored </w:t>
      </w:r>
      <w:r w:rsidRPr="006A0DC9">
        <w:rPr>
          <w:sz w:val="22"/>
          <w:szCs w:val="20"/>
        </w:rPr>
        <w:t>as a way to</w:t>
      </w:r>
      <w:r w:rsidRPr="006A0DC9">
        <w:rPr>
          <w:sz w:val="22"/>
          <w:szCs w:val="20"/>
        </w:rPr>
        <w:t xml:space="preserve"> extend neighbourhood provision for outreach, prevention and targeted clinics, particularly in underserved or harder to reach areas. Used appropriately, these venues may support </w:t>
      </w:r>
      <w:r w:rsidRPr="006A0DC9">
        <w:rPr>
          <w:sz w:val="22"/>
          <w:szCs w:val="20"/>
        </w:rPr>
        <w:t>access</w:t>
      </w:r>
      <w:r>
        <w:rPr>
          <w:sz w:val="22"/>
          <w:szCs w:val="20"/>
        </w:rPr>
        <w:t>;</w:t>
      </w:r>
      <w:r>
        <w:rPr>
          <w:sz w:val="22"/>
          <w:szCs w:val="20"/>
        </w:rPr>
        <w:t xml:space="preserve"> </w:t>
      </w:r>
      <w:r w:rsidRPr="00154714">
        <w:rPr>
          <w:sz w:val="22"/>
          <w:szCs w:val="20"/>
        </w:rPr>
        <w:t xml:space="preserve">enabling </w:t>
      </w:r>
      <w:r>
        <w:rPr>
          <w:sz w:val="22"/>
          <w:szCs w:val="20"/>
        </w:rPr>
        <w:t>GPs and their</w:t>
      </w:r>
      <w:r w:rsidRPr="00154714">
        <w:rPr>
          <w:sz w:val="22"/>
          <w:szCs w:val="20"/>
        </w:rPr>
        <w:t xml:space="preserve"> </w:t>
      </w:r>
      <w:r w:rsidRPr="00865B2B">
        <w:rPr>
          <w:sz w:val="22"/>
          <w:szCs w:val="20"/>
        </w:rPr>
        <w:t xml:space="preserve">teams to deliver </w:t>
      </w:r>
      <w:r w:rsidRPr="006A0DC9">
        <w:rPr>
          <w:sz w:val="22"/>
          <w:szCs w:val="20"/>
        </w:rPr>
        <w:t>activities such as health checks, vaccinations, screening and wider outreach</w:t>
      </w:r>
      <w:r>
        <w:rPr>
          <w:sz w:val="22"/>
          <w:szCs w:val="20"/>
        </w:rPr>
        <w:t xml:space="preserve"> </w:t>
      </w:r>
      <w:r w:rsidRPr="006A0DC9">
        <w:rPr>
          <w:sz w:val="22"/>
          <w:szCs w:val="20"/>
        </w:rPr>
        <w:t xml:space="preserve">for registered </w:t>
      </w:r>
      <w:r>
        <w:rPr>
          <w:sz w:val="22"/>
          <w:szCs w:val="20"/>
        </w:rPr>
        <w:t>patients</w:t>
      </w:r>
      <w:r w:rsidRPr="006A0DC9">
        <w:rPr>
          <w:sz w:val="22"/>
          <w:szCs w:val="20"/>
        </w:rPr>
        <w:t xml:space="preserve">. They could also provide interim capacity where GP premises are constrained, although this should not be treated as a substitute for </w:t>
      </w:r>
      <w:r>
        <w:rPr>
          <w:sz w:val="22"/>
          <w:szCs w:val="20"/>
        </w:rPr>
        <w:t xml:space="preserve">urgent </w:t>
      </w:r>
      <w:r w:rsidRPr="006A0DC9">
        <w:rPr>
          <w:sz w:val="22"/>
          <w:szCs w:val="20"/>
        </w:rPr>
        <w:t>investment in the core primary car</w:t>
      </w:r>
      <w:r w:rsidRPr="006A0DC9">
        <w:rPr>
          <w:sz w:val="22"/>
          <w:szCs w:val="20"/>
        </w:rPr>
        <w:t>e estate.</w:t>
      </w:r>
      <w:r>
        <w:rPr>
          <w:sz w:val="22"/>
          <w:szCs w:val="20"/>
        </w:rPr>
        <w:t xml:space="preserve"> </w:t>
      </w:r>
      <w:r>
        <w:rPr>
          <w:sz w:val="22"/>
          <w:szCs w:val="20"/>
        </w:rPr>
        <w:t xml:space="preserve">Furthermore, </w:t>
      </w:r>
      <w:r>
        <w:rPr>
          <w:sz w:val="22"/>
          <w:szCs w:val="20"/>
        </w:rPr>
        <w:t>learning</w:t>
      </w:r>
      <w:r>
        <w:rPr>
          <w:sz w:val="22"/>
          <w:szCs w:val="20"/>
        </w:rPr>
        <w:t xml:space="preserve"> should be </w:t>
      </w:r>
      <w:r>
        <w:rPr>
          <w:sz w:val="22"/>
          <w:szCs w:val="20"/>
        </w:rPr>
        <w:t>taken</w:t>
      </w:r>
      <w:r>
        <w:rPr>
          <w:sz w:val="22"/>
          <w:szCs w:val="20"/>
        </w:rPr>
        <w:t xml:space="preserve"> from COVID experience </w:t>
      </w:r>
      <w:r>
        <w:rPr>
          <w:sz w:val="22"/>
          <w:szCs w:val="20"/>
        </w:rPr>
        <w:t>in regard to</w:t>
      </w:r>
      <w:r>
        <w:rPr>
          <w:sz w:val="22"/>
          <w:szCs w:val="20"/>
        </w:rPr>
        <w:t xml:space="preserve"> planning a</w:t>
      </w:r>
      <w:r>
        <w:rPr>
          <w:sz w:val="22"/>
          <w:szCs w:val="20"/>
        </w:rPr>
        <w:t xml:space="preserve">nd </w:t>
      </w:r>
      <w:r>
        <w:rPr>
          <w:sz w:val="22"/>
          <w:szCs w:val="20"/>
        </w:rPr>
        <w:t xml:space="preserve">precautions i.e. </w:t>
      </w:r>
      <w:r>
        <w:rPr>
          <w:sz w:val="22"/>
          <w:szCs w:val="20"/>
        </w:rPr>
        <w:t xml:space="preserve">infection control and patient management in emergency settings. </w:t>
      </w:r>
    </w:p>
    <w:p w:rsidR="006008D2" w:rsidRPr="006A0DC9" w:rsidP="006A0DC9">
      <w:pPr>
        <w:rPr>
          <w:sz w:val="22"/>
          <w:szCs w:val="20"/>
        </w:rPr>
      </w:pPr>
    </w:p>
    <w:p w:rsidR="006008D2" w:rsidRPr="006A0DC9" w:rsidP="006A0DC9">
      <w:pPr>
        <w:rPr>
          <w:sz w:val="22"/>
          <w:szCs w:val="20"/>
        </w:rPr>
      </w:pPr>
      <w:r w:rsidRPr="006A0DC9">
        <w:rPr>
          <w:sz w:val="22"/>
          <w:szCs w:val="20"/>
        </w:rPr>
        <w:t xml:space="preserve">If this approach is </w:t>
      </w:r>
      <w:r>
        <w:rPr>
          <w:sz w:val="22"/>
          <w:szCs w:val="20"/>
        </w:rPr>
        <w:t>explored further</w:t>
      </w:r>
      <w:r w:rsidRPr="006A0DC9">
        <w:rPr>
          <w:sz w:val="22"/>
          <w:szCs w:val="20"/>
        </w:rPr>
        <w:t xml:space="preserve">, it would be important to consider the arrangements required to deliver care safely, consistently and equitably. This includes clarity on commissioning routes and who would fund venue </w:t>
      </w:r>
      <w:r>
        <w:rPr>
          <w:sz w:val="22"/>
          <w:szCs w:val="20"/>
        </w:rPr>
        <w:t>use</w:t>
      </w:r>
      <w:r w:rsidRPr="006A0DC9">
        <w:rPr>
          <w:sz w:val="22"/>
          <w:szCs w:val="20"/>
        </w:rPr>
        <w:t>, staffing time and operational costs, whether through ICBs, PCNs or a host provider, alongside responsibility for consumables, clinical waste, security, cleaning</w:t>
      </w:r>
      <w:r>
        <w:rPr>
          <w:sz w:val="22"/>
          <w:szCs w:val="20"/>
        </w:rPr>
        <w:t>,</w:t>
      </w:r>
      <w:r w:rsidRPr="006A0DC9">
        <w:rPr>
          <w:sz w:val="22"/>
          <w:szCs w:val="20"/>
        </w:rPr>
        <w:t xml:space="preserve"> and insurance. Robust </w:t>
      </w:r>
      <w:r w:rsidRPr="00D85527">
        <w:rPr>
          <w:sz w:val="22"/>
          <w:szCs w:val="20"/>
        </w:rPr>
        <w:t>guidance</w:t>
      </w:r>
      <w:r w:rsidRPr="00D85527">
        <w:rPr>
          <w:sz w:val="22"/>
          <w:szCs w:val="20"/>
        </w:rPr>
        <w:t xml:space="preserve"> would also be needed, including safeguarding, clinical safety, and appropriate information governance.</w:t>
      </w:r>
      <w:r w:rsidRPr="00D85527">
        <w:rPr>
          <w:sz w:val="22"/>
          <w:szCs w:val="20"/>
        </w:rPr>
        <w:t xml:space="preserve"> </w:t>
      </w:r>
      <w:r w:rsidRPr="00D85527">
        <w:rPr>
          <w:sz w:val="22"/>
          <w:szCs w:val="20"/>
        </w:rPr>
        <w:t xml:space="preserve">As with any expansion or </w:t>
      </w:r>
      <w:r>
        <w:rPr>
          <w:sz w:val="22"/>
          <w:szCs w:val="20"/>
        </w:rPr>
        <w:t>use of space</w:t>
      </w:r>
      <w:r w:rsidRPr="00D85527">
        <w:rPr>
          <w:sz w:val="22"/>
          <w:szCs w:val="20"/>
        </w:rPr>
        <w:t xml:space="preserve"> </w:t>
      </w:r>
      <w:r>
        <w:rPr>
          <w:sz w:val="22"/>
          <w:szCs w:val="20"/>
        </w:rPr>
        <w:t xml:space="preserve">for </w:t>
      </w:r>
      <w:r w:rsidRPr="00D85527">
        <w:rPr>
          <w:sz w:val="22"/>
          <w:szCs w:val="20"/>
        </w:rPr>
        <w:t>NHS purposes; l</w:t>
      </w:r>
      <w:r w:rsidRPr="00D85527">
        <w:rPr>
          <w:sz w:val="22"/>
          <w:szCs w:val="20"/>
        </w:rPr>
        <w:t xml:space="preserve">earning should be </w:t>
      </w:r>
      <w:r w:rsidRPr="00D85527">
        <w:rPr>
          <w:sz w:val="22"/>
          <w:szCs w:val="20"/>
        </w:rPr>
        <w:t>taken</w:t>
      </w:r>
      <w:r w:rsidRPr="00D85527">
        <w:rPr>
          <w:sz w:val="22"/>
          <w:szCs w:val="20"/>
        </w:rPr>
        <w:t xml:space="preserve"> from COVID</w:t>
      </w:r>
      <w:r>
        <w:rPr>
          <w:sz w:val="22"/>
          <w:szCs w:val="20"/>
        </w:rPr>
        <w:t xml:space="preserve"> experience</w:t>
      </w:r>
      <w:r>
        <w:rPr>
          <w:sz w:val="22"/>
          <w:szCs w:val="20"/>
        </w:rPr>
        <w:t>,</w:t>
      </w:r>
      <w:r>
        <w:rPr>
          <w:sz w:val="22"/>
          <w:szCs w:val="20"/>
        </w:rPr>
        <w:t xml:space="preserve"> </w:t>
      </w:r>
      <w:r>
        <w:rPr>
          <w:sz w:val="22"/>
          <w:szCs w:val="20"/>
        </w:rPr>
        <w:t>in regard to</w:t>
      </w:r>
      <w:r>
        <w:rPr>
          <w:sz w:val="22"/>
          <w:szCs w:val="20"/>
        </w:rPr>
        <w:t xml:space="preserve"> planning and precautions </w:t>
      </w:r>
      <w:r>
        <w:rPr>
          <w:sz w:val="22"/>
          <w:szCs w:val="20"/>
        </w:rPr>
        <w:t>for surge capacity and</w:t>
      </w:r>
      <w:r>
        <w:rPr>
          <w:sz w:val="22"/>
          <w:szCs w:val="20"/>
        </w:rPr>
        <w:t xml:space="preserve"> emergency </w:t>
      </w:r>
      <w:r>
        <w:rPr>
          <w:sz w:val="22"/>
          <w:szCs w:val="20"/>
        </w:rPr>
        <w:t>events</w:t>
      </w:r>
      <w:r>
        <w:rPr>
          <w:sz w:val="22"/>
          <w:szCs w:val="20"/>
        </w:rPr>
        <w:t>, including</w:t>
      </w:r>
      <w:r>
        <w:rPr>
          <w:sz w:val="22"/>
          <w:szCs w:val="20"/>
        </w:rPr>
        <w:t xml:space="preserve"> infection control</w:t>
      </w:r>
      <w:r>
        <w:rPr>
          <w:sz w:val="22"/>
          <w:szCs w:val="20"/>
        </w:rPr>
        <w:t xml:space="preserve">, </w:t>
      </w:r>
      <w:r>
        <w:rPr>
          <w:sz w:val="22"/>
          <w:szCs w:val="20"/>
        </w:rPr>
        <w:t>supply chain</w:t>
      </w:r>
      <w:r>
        <w:rPr>
          <w:sz w:val="22"/>
          <w:szCs w:val="20"/>
        </w:rPr>
        <w:t xml:space="preserve">s and </w:t>
      </w:r>
      <w:r>
        <w:rPr>
          <w:sz w:val="22"/>
          <w:szCs w:val="20"/>
        </w:rPr>
        <w:t xml:space="preserve">patient </w:t>
      </w:r>
      <w:r>
        <w:rPr>
          <w:sz w:val="22"/>
          <w:szCs w:val="20"/>
        </w:rPr>
        <w:t>flow/zones</w:t>
      </w:r>
      <w:r>
        <w:rPr>
          <w:sz w:val="22"/>
          <w:szCs w:val="20"/>
        </w:rPr>
        <w:t xml:space="preserve">. </w:t>
      </w:r>
      <w:r>
        <w:rPr>
          <w:sz w:val="22"/>
          <w:szCs w:val="20"/>
        </w:rPr>
        <w:t>T</w:t>
      </w:r>
      <w:r w:rsidRPr="006A0DC9">
        <w:rPr>
          <w:sz w:val="22"/>
          <w:szCs w:val="20"/>
        </w:rPr>
        <w:t>here would also need to be practical consideration of how activity is recorded in</w:t>
      </w:r>
      <w:r>
        <w:rPr>
          <w:sz w:val="22"/>
          <w:szCs w:val="20"/>
        </w:rPr>
        <w:t xml:space="preserve"> </w:t>
      </w:r>
      <w:r w:rsidRPr="006A0DC9">
        <w:rPr>
          <w:sz w:val="22"/>
          <w:szCs w:val="20"/>
        </w:rPr>
        <w:t>patient record</w:t>
      </w:r>
      <w:r>
        <w:rPr>
          <w:sz w:val="22"/>
          <w:szCs w:val="20"/>
        </w:rPr>
        <w:t>s</w:t>
      </w:r>
      <w:r w:rsidRPr="006A0DC9">
        <w:rPr>
          <w:sz w:val="22"/>
          <w:szCs w:val="20"/>
        </w:rPr>
        <w:t xml:space="preserve">, including </w:t>
      </w:r>
      <w:r>
        <w:rPr>
          <w:sz w:val="22"/>
          <w:szCs w:val="20"/>
        </w:rPr>
        <w:t xml:space="preserve">appropriate </w:t>
      </w:r>
      <w:r w:rsidRPr="006A0DC9">
        <w:rPr>
          <w:sz w:val="22"/>
          <w:szCs w:val="20"/>
        </w:rPr>
        <w:t>access to clinical systems</w:t>
      </w:r>
      <w:r>
        <w:rPr>
          <w:sz w:val="22"/>
          <w:szCs w:val="20"/>
        </w:rPr>
        <w:t xml:space="preserve">, </w:t>
      </w:r>
      <w:r w:rsidRPr="006A0DC9">
        <w:rPr>
          <w:sz w:val="22"/>
          <w:szCs w:val="20"/>
        </w:rPr>
        <w:t>reliable</w:t>
      </w:r>
      <w:r w:rsidRPr="006A0DC9">
        <w:rPr>
          <w:sz w:val="22"/>
          <w:szCs w:val="20"/>
        </w:rPr>
        <w:t xml:space="preserve"> </w:t>
      </w:r>
      <w:r>
        <w:rPr>
          <w:sz w:val="22"/>
          <w:szCs w:val="20"/>
        </w:rPr>
        <w:t xml:space="preserve">system </w:t>
      </w:r>
      <w:r w:rsidRPr="006A0DC9">
        <w:rPr>
          <w:sz w:val="22"/>
          <w:szCs w:val="20"/>
        </w:rPr>
        <w:t>connectivity</w:t>
      </w:r>
      <w:r w:rsidRPr="006A0DC9">
        <w:rPr>
          <w:sz w:val="22"/>
          <w:szCs w:val="20"/>
        </w:rPr>
        <w:t>, and clear processes for follow-up and onward referral.</w:t>
      </w:r>
      <w:r>
        <w:rPr>
          <w:sz w:val="22"/>
          <w:szCs w:val="20"/>
        </w:rPr>
        <w:t xml:space="preserve"> I</w:t>
      </w:r>
      <w:r w:rsidRPr="006A0DC9">
        <w:rPr>
          <w:sz w:val="22"/>
          <w:szCs w:val="20"/>
        </w:rPr>
        <w:t>t</w:t>
      </w:r>
      <w:r>
        <w:rPr>
          <w:sz w:val="22"/>
          <w:szCs w:val="20"/>
        </w:rPr>
        <w:t xml:space="preserve"> could </w:t>
      </w:r>
      <w:r w:rsidRPr="006A0DC9">
        <w:rPr>
          <w:sz w:val="22"/>
          <w:szCs w:val="20"/>
        </w:rPr>
        <w:t>be sensible to set expectations for minimum standards, data capture and quality assurance, while allowing local flexibility on delivery.</w:t>
      </w:r>
      <w:r>
        <w:rPr>
          <w:sz w:val="22"/>
          <w:szCs w:val="20"/>
        </w:rPr>
        <w:t xml:space="preserve"> </w:t>
      </w:r>
      <w:r w:rsidRPr="00CF3D57">
        <w:rPr>
          <w:sz w:val="22"/>
          <w:szCs w:val="20"/>
        </w:rPr>
        <w:t>Critically, funding and contractual arrangements should avoid shifting additional set-up and running costs, operational risk, or unfunded GP time onto practices, and should include mitigations to prevent uneven local provision creating postcode variation or widening health inequalities.</w:t>
      </w:r>
    </w:p>
    <w:p w:rsidR="006008D2" w:rsidP="00426BED">
      <w:pPr>
        <w:rPr>
          <w:sz w:val="22"/>
          <w:szCs w:val="20"/>
        </w:rPr>
      </w:pPr>
    </w:p>
    <w:p w:rsidR="006008D2" w:rsidRPr="00343944" w:rsidP="00426BED">
      <w:pPr>
        <w:rPr>
          <w:sz w:val="22"/>
          <w:szCs w:val="20"/>
        </w:rPr>
      </w:pPr>
      <w:r w:rsidRPr="00343944">
        <w:rPr>
          <w:sz w:val="22"/>
          <w:szCs w:val="20"/>
        </w:rPr>
        <w:t>U</w:t>
      </w:r>
      <w:r w:rsidRPr="00343944">
        <w:rPr>
          <w:sz w:val="22"/>
          <w:szCs w:val="20"/>
        </w:rPr>
        <w:t xml:space="preserve">tilising non-NHS settings or infrastructure </w:t>
      </w:r>
      <w:r w:rsidRPr="00343944">
        <w:rPr>
          <w:sz w:val="22"/>
          <w:szCs w:val="20"/>
        </w:rPr>
        <w:t xml:space="preserve">for the delivery of </w:t>
      </w:r>
      <w:r w:rsidRPr="00343944">
        <w:rPr>
          <w:sz w:val="22"/>
          <w:szCs w:val="20"/>
        </w:rPr>
        <w:t>neighbourhood</w:t>
      </w:r>
      <w:r w:rsidRPr="00343944">
        <w:rPr>
          <w:sz w:val="22"/>
          <w:szCs w:val="20"/>
        </w:rPr>
        <w:t xml:space="preserve"> care </w:t>
      </w:r>
      <w:r w:rsidRPr="00343944">
        <w:rPr>
          <w:sz w:val="22"/>
          <w:szCs w:val="20"/>
        </w:rPr>
        <w:t xml:space="preserve">could </w:t>
      </w:r>
      <w:r w:rsidRPr="00343944">
        <w:rPr>
          <w:sz w:val="22"/>
          <w:szCs w:val="20"/>
        </w:rPr>
        <w:t xml:space="preserve">enable wider outreach and access of services, </w:t>
      </w:r>
      <w:r w:rsidRPr="00343944">
        <w:rPr>
          <w:sz w:val="22"/>
          <w:szCs w:val="20"/>
        </w:rPr>
        <w:t xml:space="preserve">an important aspect of addressing health inequalities. However, whilst we </w:t>
      </w:r>
      <w:r w:rsidRPr="00343944">
        <w:rPr>
          <w:sz w:val="22"/>
          <w:szCs w:val="20"/>
        </w:rPr>
        <w:t>hope</w:t>
      </w:r>
      <w:r w:rsidRPr="00343944">
        <w:rPr>
          <w:sz w:val="22"/>
          <w:szCs w:val="20"/>
        </w:rPr>
        <w:t xml:space="preserve"> </w:t>
      </w:r>
      <w:r w:rsidRPr="00343944">
        <w:rPr>
          <w:sz w:val="22"/>
          <w:szCs w:val="20"/>
        </w:rPr>
        <w:t xml:space="preserve">equity and efficiency </w:t>
      </w:r>
      <w:r w:rsidRPr="00343944">
        <w:rPr>
          <w:sz w:val="22"/>
          <w:szCs w:val="20"/>
        </w:rPr>
        <w:t xml:space="preserve">can be </w:t>
      </w:r>
      <w:r w:rsidRPr="00343944">
        <w:rPr>
          <w:sz w:val="22"/>
          <w:szCs w:val="20"/>
        </w:rPr>
        <w:t>achieved</w:t>
      </w:r>
      <w:r w:rsidRPr="00343944">
        <w:rPr>
          <w:sz w:val="22"/>
          <w:szCs w:val="20"/>
        </w:rPr>
        <w:t xml:space="preserve"> in tandem, there are clearly challenges </w:t>
      </w:r>
      <w:r w:rsidRPr="00343944">
        <w:rPr>
          <w:sz w:val="22"/>
          <w:szCs w:val="20"/>
        </w:rPr>
        <w:t xml:space="preserve">that may result in greater complexity and </w:t>
      </w:r>
      <w:r w:rsidRPr="00343944">
        <w:rPr>
          <w:sz w:val="22"/>
          <w:szCs w:val="20"/>
        </w:rPr>
        <w:t>cost</w:t>
      </w:r>
      <w:r w:rsidRPr="00343944">
        <w:rPr>
          <w:sz w:val="22"/>
          <w:szCs w:val="20"/>
        </w:rPr>
        <w:t xml:space="preserve"> in the practicalities of these plans. </w:t>
      </w:r>
      <w:r w:rsidRPr="00343944">
        <w:rPr>
          <w:sz w:val="22"/>
          <w:szCs w:val="20"/>
        </w:rPr>
        <w:t xml:space="preserve">These costs, not limited to time and resources, should </w:t>
      </w:r>
      <w:r w:rsidRPr="00343944">
        <w:rPr>
          <w:sz w:val="22"/>
          <w:szCs w:val="20"/>
        </w:rPr>
        <w:t xml:space="preserve">be </w:t>
      </w:r>
      <w:r w:rsidRPr="00343944">
        <w:rPr>
          <w:sz w:val="22"/>
          <w:szCs w:val="20"/>
        </w:rPr>
        <w:t xml:space="preserve">carefully considered at a national and local support level, with precautions </w:t>
      </w:r>
      <w:r w:rsidRPr="00343944">
        <w:rPr>
          <w:sz w:val="22"/>
          <w:szCs w:val="20"/>
        </w:rPr>
        <w:t xml:space="preserve">in </w:t>
      </w:r>
      <w:r w:rsidRPr="00343944">
        <w:rPr>
          <w:sz w:val="22"/>
          <w:szCs w:val="20"/>
        </w:rPr>
        <w:t xml:space="preserve">ensure </w:t>
      </w:r>
      <w:r w:rsidRPr="00343944">
        <w:rPr>
          <w:sz w:val="22"/>
          <w:szCs w:val="20"/>
        </w:rPr>
        <w:t>individual providers and organisations</w:t>
      </w:r>
      <w:r w:rsidRPr="00343944">
        <w:rPr>
          <w:sz w:val="22"/>
          <w:szCs w:val="20"/>
        </w:rPr>
        <w:t xml:space="preserve"> (and their patients and communities)</w:t>
      </w:r>
      <w:r w:rsidRPr="00343944">
        <w:rPr>
          <w:sz w:val="22"/>
          <w:szCs w:val="20"/>
        </w:rPr>
        <w:t xml:space="preserve"> aren’t inadvertently worse-off for </w:t>
      </w:r>
      <w:r w:rsidRPr="00343944">
        <w:rPr>
          <w:sz w:val="22"/>
          <w:szCs w:val="20"/>
        </w:rPr>
        <w:t>delivering</w:t>
      </w:r>
      <w:r w:rsidRPr="00343944">
        <w:rPr>
          <w:sz w:val="22"/>
          <w:szCs w:val="20"/>
        </w:rPr>
        <w:t xml:space="preserve"> and accessing</w:t>
      </w:r>
      <w:r w:rsidRPr="00343944">
        <w:rPr>
          <w:sz w:val="22"/>
          <w:szCs w:val="20"/>
        </w:rPr>
        <w:t xml:space="preserve"> care in </w:t>
      </w:r>
      <w:r w:rsidRPr="00343944">
        <w:rPr>
          <w:sz w:val="22"/>
          <w:szCs w:val="20"/>
        </w:rPr>
        <w:t xml:space="preserve">non-NHS </w:t>
      </w:r>
      <w:r w:rsidRPr="00343944">
        <w:rPr>
          <w:sz w:val="22"/>
          <w:szCs w:val="20"/>
        </w:rPr>
        <w:t>environments</w:t>
      </w:r>
      <w:r w:rsidRPr="00343944">
        <w:rPr>
          <w:sz w:val="22"/>
          <w:szCs w:val="20"/>
        </w:rPr>
        <w:t xml:space="preserve">. </w:t>
      </w:r>
    </w:p>
    <w:p w:rsidR="006008D2" w:rsidP="00C72593">
      <w:pPr>
        <w:rPr>
          <w:sz w:val="22"/>
          <w:szCs w:val="20"/>
        </w:rPr>
      </w:pPr>
    </w:p>
    <w:p w:rsidR="006008D2" w:rsidP="00C72593">
      <w:pPr>
        <w:rPr>
          <w:sz w:val="22"/>
          <w:szCs w:val="20"/>
        </w:rPr>
      </w:pPr>
      <w:r>
        <w:rPr>
          <w:sz w:val="22"/>
          <w:szCs w:val="20"/>
        </w:rPr>
        <w:t>The College acknowledge</w:t>
      </w:r>
      <w:r>
        <w:rPr>
          <w:sz w:val="22"/>
          <w:szCs w:val="20"/>
        </w:rPr>
        <w:t>s</w:t>
      </w:r>
      <w:r>
        <w:rPr>
          <w:sz w:val="22"/>
          <w:szCs w:val="20"/>
        </w:rPr>
        <w:t xml:space="preserve"> efforts already being taken by GPs and their teams to meet their community’s needs through local collaboration and integration. One example is the </w:t>
      </w:r>
      <w:r>
        <w:fldChar w:fldCharType="begin"/>
      </w:r>
      <w:r>
        <w:instrText xml:space="preserve"> HYPERLINK "https://pcc-cic.org.uk/developing-neighbourhoods-community-oriented-integrated-practice/" </w:instrText>
      </w:r>
      <w:r>
        <w:fldChar w:fldCharType="separate"/>
      </w:r>
      <w:r w:rsidRPr="00B322F9">
        <w:rPr>
          <w:rStyle w:val="Hyperlink"/>
          <w:sz w:val="22"/>
          <w:szCs w:val="20"/>
        </w:rPr>
        <w:t>Community-Oriented Integration Network (COIN)</w:t>
      </w:r>
      <w:r>
        <w:fldChar w:fldCharType="end"/>
      </w:r>
      <w:r>
        <w:rPr>
          <w:sz w:val="22"/>
          <w:szCs w:val="20"/>
        </w:rPr>
        <w:t xml:space="preserve">, which works to </w:t>
      </w:r>
      <w:r w:rsidRPr="00B54749">
        <w:rPr>
          <w:sz w:val="22"/>
          <w:szCs w:val="20"/>
        </w:rPr>
        <w:t>bring</w:t>
      </w:r>
      <w:r>
        <w:rPr>
          <w:sz w:val="22"/>
          <w:szCs w:val="20"/>
        </w:rPr>
        <w:t xml:space="preserve"> </w:t>
      </w:r>
      <w:r w:rsidRPr="00B54749">
        <w:rPr>
          <w:sz w:val="22"/>
          <w:szCs w:val="20"/>
        </w:rPr>
        <w:t>together communities and service providers to </w:t>
      </w:r>
      <w:r>
        <w:rPr>
          <w:sz w:val="22"/>
          <w:szCs w:val="20"/>
        </w:rPr>
        <w:t xml:space="preserve">create neighbourhood networks aligned by </w:t>
      </w:r>
      <w:r w:rsidRPr="00082584">
        <w:rPr>
          <w:sz w:val="22"/>
          <w:szCs w:val="20"/>
        </w:rPr>
        <w:t>Community-Oriented Integrated Practice (COIP)</w:t>
      </w:r>
      <w:r>
        <w:rPr>
          <w:sz w:val="22"/>
          <w:szCs w:val="20"/>
        </w:rPr>
        <w:t>.</w:t>
      </w:r>
    </w:p>
    <w:p w:rsidR="006008D2" w:rsidP="000B2832">
      <w:pPr>
        <w:ind w:left="360"/>
        <w:rPr>
          <w:sz w:val="22"/>
          <w:szCs w:val="20"/>
        </w:rPr>
      </w:pPr>
    </w:p>
    <w:p w:rsidR="006008D2" w:rsidRPr="00ED5FDF" w:rsidP="00ED5FDF">
      <w:pPr>
        <w:pStyle w:val="ListParagraph"/>
        <w:numPr>
          <w:ilvl w:val="0"/>
          <w:numId w:val="20"/>
        </w:numPr>
        <w:spacing w:before="240"/>
        <w:rPr>
          <w:i/>
          <w:color w:val="0070C0"/>
          <w:sz w:val="22"/>
          <w:szCs w:val="20"/>
        </w:rPr>
      </w:pPr>
      <w:r w:rsidRPr="00ED5FDF">
        <w:rPr>
          <w:i/>
          <w:color w:val="0070C0"/>
          <w:sz w:val="22"/>
          <w:szCs w:val="20"/>
        </w:rPr>
        <w:t>How can local communities and the workforce best be involved in the planning and design of estate transformation for the Neighbourhood Health Service?</w:t>
      </w:r>
    </w:p>
    <w:p w:rsidR="006008D2" w:rsidRPr="00ED5FDF" w:rsidP="006E220D">
      <w:pPr>
        <w:pStyle w:val="ListParagraph"/>
        <w:numPr>
          <w:ilvl w:val="0"/>
          <w:numId w:val="27"/>
        </w:numPr>
        <w:rPr>
          <w:i/>
          <w:color w:val="0070C0"/>
          <w:sz w:val="22"/>
          <w:szCs w:val="20"/>
        </w:rPr>
      </w:pPr>
      <w:r w:rsidRPr="00ED5FDF">
        <w:rPr>
          <w:i/>
          <w:color w:val="0070C0"/>
          <w:sz w:val="22"/>
          <w:szCs w:val="20"/>
        </w:rPr>
        <w:t>How should the estate be designed to meet the needs of different communities, including those based in rural or coastal settings?  </w:t>
      </w:r>
    </w:p>
    <w:p w:rsidR="006008D2" w:rsidRPr="00C85AD2" w:rsidP="00A25F6E">
      <w:pPr>
        <w:ind w:left="720"/>
        <w:rPr>
          <w:i/>
          <w:iCs/>
          <w:sz w:val="22"/>
          <w:szCs w:val="20"/>
        </w:rPr>
      </w:pPr>
    </w:p>
    <w:p w:rsidR="006008D2" w:rsidP="001952AB">
      <w:pPr>
        <w:spacing w:after="160"/>
        <w:rPr>
          <w:b/>
          <w:bCs/>
        </w:rPr>
      </w:pPr>
      <w:r w:rsidRPr="00FE71E0">
        <w:rPr>
          <w:iCs/>
          <w:sz w:val="22"/>
        </w:rPr>
        <w:t xml:space="preserve">As multidisciplinary working has expanded, practices need more space to deliver the services their communities need. The planning of the estates should be co-developed with the general practice workforce </w:t>
      </w:r>
      <w:r>
        <w:rPr>
          <w:iCs/>
          <w:sz w:val="22"/>
        </w:rPr>
        <w:t>and</w:t>
      </w:r>
      <w:r w:rsidRPr="00FE71E0">
        <w:rPr>
          <w:iCs/>
          <w:sz w:val="22"/>
        </w:rPr>
        <w:t xml:space="preserve"> the local setting in mind alongside adequate resourcing in place to facilitate this. Outside of the GP workforce, it is vital to </w:t>
      </w:r>
      <w:r w:rsidRPr="00FE71E0">
        <w:rPr>
          <w:rFonts w:eastAsia="Lato" w:cs="Lato"/>
          <w:iCs/>
          <w:sz w:val="22"/>
        </w:rPr>
        <w:t>co-produce with patients, carers and the local community to make sure estates are patient-centred, accessible and adaptable to meeting complex need</w:t>
      </w:r>
      <w:r w:rsidRPr="00FE71E0">
        <w:rPr>
          <w:iCs/>
          <w:sz w:val="22"/>
        </w:rPr>
        <w:t xml:space="preserve">. </w:t>
      </w:r>
    </w:p>
    <w:p w:rsidR="006008D2" w:rsidP="00ED5FDF">
      <w:pPr>
        <w:pStyle w:val="Heading4"/>
      </w:pPr>
      <w:r>
        <w:br w:type="page"/>
      </w:r>
      <w:r>
        <w:t>References</w:t>
      </w:r>
    </w:p>
    <w:sectPr w:rsidSect="00096257">
      <w:endnotePr>
        <w:numFmt w:val="decimal"/>
      </w:endnotePr>
      <w:pgSz w:w="12240" w:h="15840"/>
      <w:pgMar w:top="1560" w:right="900" w:bottom="1135" w:left="1440" w:header="0" w:footer="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008D2" w:rsidP="003E5178">
      <w:pPr>
        <w:spacing w:line="240" w:lineRule="auto"/>
      </w:pPr>
      <w:r>
        <w:separator/>
      </w:r>
    </w:p>
  </w:endnote>
  <w:endnote w:type="continuationSeparator" w:id="1">
    <w:p w:rsidR="006008D2" w:rsidP="003E5178">
      <w:pPr>
        <w:spacing w:line="240" w:lineRule="auto"/>
      </w:pPr>
      <w:r>
        <w:continuationSeparator/>
      </w:r>
    </w:p>
  </w:endnote>
  <w:endnote w:id="2">
    <w:p w:rsidR="006008D2" w:rsidP="004364FC">
      <w:pPr>
        <w:pStyle w:val="EndnoteText"/>
        <w:rPr>
          <w:b/>
          <w:bCs/>
        </w:rPr>
      </w:pPr>
    </w:p>
    <w:p w:rsidR="006008D2" w:rsidRPr="005E2661" w:rsidP="004364FC">
      <w:pPr>
        <w:pStyle w:val="EndnoteText"/>
        <w:rPr>
          <w:b/>
          <w:bCs/>
        </w:rPr>
      </w:pPr>
      <w:r>
        <w:rPr>
          <w:rStyle w:val="EndnoteReference"/>
        </w:rPr>
        <w:endnoteRef/>
      </w:r>
      <w:r>
        <w:t xml:space="preserve"> NHS England. (2024). </w:t>
      </w:r>
      <w:r>
        <w:fldChar w:fldCharType="begin"/>
      </w:r>
      <w:r>
        <w:instrText xml:space="preserve"> HYPERLINK "https://www.england.nhs.uk/estates/integrated-care-system-infrastructure-strategy/?utm_source=chatgpt.com" </w:instrText>
      </w:r>
      <w:r>
        <w:fldChar w:fldCharType="separate"/>
      </w:r>
      <w:r w:rsidRPr="00563870">
        <w:rPr>
          <w:rStyle w:val="Hyperlink"/>
        </w:rPr>
        <w:t>Integrated care system infrastructure strategy</w:t>
      </w:r>
      <w:r>
        <w:fldChar w:fldCharType="end"/>
      </w:r>
      <w:r>
        <w:t xml:space="preserve">. </w:t>
      </w:r>
      <w:r w:rsidRPr="00325D41">
        <w:t xml:space="preserve">Accessed </w:t>
      </w:r>
      <w:r>
        <w:t>22 January 2026</w:t>
      </w:r>
    </w:p>
  </w:endnote>
  <w:endnote w:id="3">
    <w:p w:rsidR="006008D2" w:rsidP="00E7529A">
      <w:pPr>
        <w:pStyle w:val="EndnoteText"/>
      </w:pPr>
      <w:r>
        <w:rPr>
          <w:rStyle w:val="EndnoteReference"/>
        </w:rPr>
        <w:endnoteRef/>
      </w:r>
      <w:r>
        <w:t xml:space="preserve"> RCGP. (2023). </w:t>
      </w:r>
      <w:r>
        <w:fldChar w:fldCharType="begin"/>
      </w:r>
      <w:r>
        <w:instrText xml:space="preserve"> HYPERLINK "https://www.rcgp.org.uk/about" </w:instrText>
      </w:r>
      <w:r>
        <w:fldChar w:fldCharType="separate"/>
      </w:r>
      <w:r w:rsidRPr="002F5101">
        <w:rPr>
          <w:rStyle w:val="Hyperlink"/>
        </w:rPr>
        <w:t>Definition of a GP</w:t>
      </w:r>
      <w:r>
        <w:fldChar w:fldCharType="end"/>
      </w:r>
      <w:r>
        <w:t xml:space="preserve">. </w:t>
      </w:r>
      <w:r w:rsidRPr="00325D41">
        <w:t xml:space="preserve">Accessed </w:t>
      </w:r>
      <w:r>
        <w:t>22 January 2026</w:t>
      </w:r>
    </w:p>
  </w:endnote>
  <w:endnote w:id="4">
    <w:p w:rsidR="006008D2" w:rsidP="00696FB0">
      <w:pPr>
        <w:pStyle w:val="EndnoteText"/>
      </w:pPr>
      <w:r>
        <w:rPr>
          <w:rStyle w:val="EndnoteReference"/>
        </w:rPr>
        <w:endnoteRef/>
      </w:r>
      <w:r>
        <w:t xml:space="preserve"> NHS England. (2023). </w:t>
      </w:r>
      <w:r>
        <w:fldChar w:fldCharType="begin"/>
      </w:r>
      <w:r>
        <w:instrText xml:space="preserve"> HYPERLINK "https://www.england.nhs.uk/wp-content/uploads/2023/06/nhs-long-term-workforce-plan-v1.2.pdf" </w:instrText>
      </w:r>
      <w:r>
        <w:fldChar w:fldCharType="separate"/>
      </w:r>
      <w:r w:rsidRPr="00844173">
        <w:rPr>
          <w:rStyle w:val="Hyperlink"/>
        </w:rPr>
        <w:t>NHS Long Term Workforce Plan</w:t>
      </w:r>
      <w:r>
        <w:fldChar w:fldCharType="end"/>
      </w:r>
      <w:r>
        <w:t xml:space="preserve">. </w:t>
      </w:r>
      <w:r w:rsidRPr="00325D41">
        <w:t xml:space="preserve">Accessed </w:t>
      </w:r>
      <w:r>
        <w:t>22 January 2026</w:t>
      </w:r>
      <w:r w:rsidRPr="00325D41">
        <w:t xml:space="preserve">. </w:t>
      </w:r>
    </w:p>
  </w:endnote>
  <w:endnote w:id="5">
    <w:p w:rsidR="006008D2" w:rsidP="00696FB0">
      <w:pPr>
        <w:pStyle w:val="EndnoteText"/>
      </w:pPr>
      <w:r>
        <w:rPr>
          <w:rStyle w:val="EndnoteReference"/>
        </w:rPr>
        <w:endnoteRef/>
      </w:r>
      <w:r>
        <w:t xml:space="preserve"> RCGP. (2023). </w:t>
      </w:r>
      <w:r>
        <w:fldChar w:fldCharType="begin"/>
      </w:r>
      <w:r>
        <w:instrText xml:space="preserve"> HYPERLINK "https://www.rcgp.org.uk/getmedia/2aa7365f-ef3e-4262-aabc-6e73bcd2656f/infrastructure-report-may-2023.pdf" </w:instrText>
      </w:r>
      <w:r>
        <w:fldChar w:fldCharType="separate"/>
      </w:r>
      <w:r w:rsidRPr="00FB650C">
        <w:rPr>
          <w:rStyle w:val="Hyperlink"/>
        </w:rPr>
        <w:t>Fit for the Future Reshaping general practice infrastructure in England.</w:t>
      </w:r>
      <w:r>
        <w:fldChar w:fldCharType="end"/>
      </w:r>
      <w:r>
        <w:t xml:space="preserve"> </w:t>
      </w:r>
      <w:r w:rsidRPr="00325D41">
        <w:t xml:space="preserve">Accessed </w:t>
      </w:r>
      <w:r>
        <w:t>22 January 2026</w:t>
      </w:r>
      <w:r w:rsidRPr="00325D41">
        <w:t xml:space="preserve">. </w:t>
      </w:r>
    </w:p>
  </w:endnote>
  <w:endnote w:id="6">
    <w:p w:rsidR="006008D2" w:rsidP="00696FB0">
      <w:pPr>
        <w:pStyle w:val="EndnoteText"/>
      </w:pPr>
      <w:r>
        <w:rPr>
          <w:rStyle w:val="EndnoteReference"/>
        </w:rPr>
        <w:endnoteRef/>
      </w:r>
      <w:r>
        <w:t xml:space="preserve"> RCGP. (2025). </w:t>
      </w:r>
      <w:r>
        <w:fldChar w:fldCharType="begin"/>
      </w:r>
      <w:r>
        <w:instrText xml:space="preserve"> HYPERLINK "https://www.rcgp.org.uk/getmedia/c130dfaf-022c-41cf-88dd-a68575ddd806/Department-Health-Social-Care-10-Year-Workforce-Plan-call-for-evidence-response.pdf" </w:instrText>
      </w:r>
      <w:r>
        <w:fldChar w:fldCharType="separate"/>
      </w:r>
      <w:r w:rsidRPr="00BB21FD">
        <w:rPr>
          <w:rStyle w:val="Hyperlink"/>
        </w:rPr>
        <w:t>Royal College of General Practitioners (RCGP) organisational response to the Department of Health &amp; Social Care’s 10 Year Workforce Plan - call for evidence</w:t>
      </w:r>
      <w:r>
        <w:fldChar w:fldCharType="end"/>
      </w:r>
      <w:r>
        <w:t xml:space="preserve">. </w:t>
      </w:r>
      <w:r w:rsidRPr="00325D41">
        <w:t xml:space="preserve">Accessed </w:t>
      </w:r>
      <w:r>
        <w:t>22 January 2026</w:t>
      </w:r>
      <w:r w:rsidRPr="00325D41">
        <w:t xml:space="preserve">. </w:t>
      </w:r>
    </w:p>
  </w:endnote>
  <w:endnote w:id="7">
    <w:p w:rsidR="006008D2" w:rsidP="00696FB0">
      <w:pPr>
        <w:pStyle w:val="EndnoteText"/>
      </w:pPr>
      <w:r>
        <w:rPr>
          <w:rStyle w:val="EndnoteReference"/>
        </w:rPr>
        <w:endnoteRef/>
      </w:r>
      <w:r>
        <w:t xml:space="preserve"> BMA. (2025). </w:t>
      </w:r>
      <w:r>
        <w:fldChar w:fldCharType="begin"/>
      </w:r>
      <w:r>
        <w:instrText xml:space="preserve"> HYPERLINK "http://bma.org.uk/news-and-opinion/gp-premises-survey-results-2025" </w:instrText>
      </w:r>
      <w:r>
        <w:fldChar w:fldCharType="separate"/>
      </w:r>
      <w:r w:rsidRPr="000B65A7">
        <w:rPr>
          <w:rStyle w:val="Hyperlink"/>
        </w:rPr>
        <w:t>GP premises survey results 2025</w:t>
      </w:r>
      <w:r>
        <w:fldChar w:fldCharType="end"/>
      </w:r>
      <w:r>
        <w:t xml:space="preserve">. </w:t>
      </w:r>
      <w:r w:rsidRPr="00325D41">
        <w:t xml:space="preserve">Accessed </w:t>
      </w:r>
      <w:r>
        <w:t>22 January 2026</w:t>
      </w:r>
      <w:r w:rsidRPr="00325D41">
        <w:t xml:space="preserve">. </w:t>
      </w:r>
    </w:p>
  </w:endnote>
  <w:endnote w:id="8">
    <w:p w:rsidR="006008D2" w:rsidP="00696FB0">
      <w:pPr>
        <w:pStyle w:val="EndnoteText"/>
      </w:pPr>
      <w:r>
        <w:rPr>
          <w:rStyle w:val="EndnoteReference"/>
        </w:rPr>
        <w:endnoteRef/>
      </w:r>
      <w:r>
        <w:t xml:space="preserve"> </w:t>
      </w:r>
      <w:r w:rsidRPr="00724466">
        <w:t>North East and North Cumbria</w:t>
      </w:r>
      <w:r>
        <w:t xml:space="preserve"> </w:t>
      </w:r>
      <w:r w:rsidRPr="00CE5AF5">
        <w:t>Integrated Care System</w:t>
      </w:r>
      <w:r>
        <w:t xml:space="preserve">. (2024). </w:t>
      </w:r>
      <w:r>
        <w:fldChar w:fldCharType="begin"/>
      </w:r>
      <w:r>
        <w:instrText xml:space="preserve"> HYPERLINK "https://northeastnorthcumbria.nhs.uk/media/44knce3v/item-10-3a-nenc-ics-infrastructure-strategy-240724.pdf" </w:instrText>
      </w:r>
      <w:r>
        <w:fldChar w:fldCharType="separate"/>
      </w:r>
      <w:r w:rsidRPr="000E6104">
        <w:rPr>
          <w:rStyle w:val="Hyperlink"/>
        </w:rPr>
        <w:t>NENC Infrastructure Strategy 2024</w:t>
      </w:r>
      <w:r>
        <w:fldChar w:fldCharType="end"/>
      </w:r>
      <w:r>
        <w:t xml:space="preserve">. </w:t>
      </w:r>
      <w:r w:rsidRPr="00325D41">
        <w:t xml:space="preserve">Accessed </w:t>
      </w:r>
      <w:r>
        <w:t>28 January 2026</w:t>
      </w:r>
      <w:r w:rsidRPr="00325D41">
        <w:t>.</w:t>
      </w:r>
    </w:p>
  </w:endnote>
  <w:endnote w:id="9">
    <w:p w:rsidR="006008D2" w:rsidP="00696FB0">
      <w:pPr>
        <w:pStyle w:val="EndnoteText"/>
      </w:pPr>
      <w:r>
        <w:rPr>
          <w:rStyle w:val="EndnoteReference"/>
        </w:rPr>
        <w:endnoteRef/>
      </w:r>
      <w:r>
        <w:t xml:space="preserve"> </w:t>
      </w:r>
      <w:r w:rsidRPr="000302C1">
        <w:t xml:space="preserve"> Lancashire and South Cumbria Integrated Care Board</w:t>
      </w:r>
      <w:r>
        <w:t xml:space="preserve">. (2023). </w:t>
      </w:r>
      <w:r>
        <w:fldChar w:fldCharType="begin"/>
      </w:r>
      <w:r>
        <w:instrText xml:space="preserve"> HYPERLINK "https://www.healthierlsc.co.uk/application/files/6317/0427/9648/Item_8ii-Final_LSC_ICB_Infastructure_Strategy.pdf" </w:instrText>
      </w:r>
      <w:r>
        <w:fldChar w:fldCharType="separate"/>
      </w:r>
      <w:r w:rsidRPr="00BF58CE">
        <w:rPr>
          <w:rStyle w:val="Hyperlink"/>
        </w:rPr>
        <w:t>L&amp;SC Infrastructure Strategy 2023-2040</w:t>
      </w:r>
      <w:r>
        <w:fldChar w:fldCharType="end"/>
      </w:r>
      <w:r>
        <w:t xml:space="preserve">. </w:t>
      </w:r>
      <w:r w:rsidRPr="00325D41">
        <w:t xml:space="preserve">Accessed </w:t>
      </w:r>
      <w:r>
        <w:t>28 January 2026</w:t>
      </w:r>
      <w:r w:rsidRPr="00325D41">
        <w:t>.</w:t>
      </w:r>
    </w:p>
  </w:endnote>
  <w:endnote w:id="10">
    <w:p w:rsidR="006008D2" w:rsidP="00696FB0">
      <w:pPr>
        <w:pStyle w:val="EndnoteText"/>
      </w:pPr>
      <w:r>
        <w:rPr>
          <w:rStyle w:val="EndnoteReference"/>
        </w:rPr>
        <w:endnoteRef/>
      </w:r>
      <w:r>
        <w:t xml:space="preserve"> </w:t>
      </w:r>
      <w:r w:rsidRPr="00515542">
        <w:t>Somerset Integrated Care Board</w:t>
      </w:r>
      <w:r>
        <w:t xml:space="preserve">. (2024). </w:t>
      </w:r>
      <w:r>
        <w:fldChar w:fldCharType="begin"/>
      </w:r>
      <w:r>
        <w:instrText xml:space="preserve"> HYPERLINK "https://nhssomerset.nhs.uk/wp-content/uploads/sites/2/Enc-E-Somerset-ICS-Infrastructure-Strategy.pdf" </w:instrText>
      </w:r>
      <w:r>
        <w:fldChar w:fldCharType="separate"/>
      </w:r>
      <w:r w:rsidRPr="00130B4F">
        <w:rPr>
          <w:rStyle w:val="Hyperlink"/>
        </w:rPr>
        <w:t>Somerset ICS Infrastructure Strategy</w:t>
      </w:r>
      <w:r>
        <w:fldChar w:fldCharType="end"/>
      </w:r>
      <w:r>
        <w:t xml:space="preserve">. </w:t>
      </w:r>
      <w:r w:rsidRPr="00325D41">
        <w:t xml:space="preserve">Accessed </w:t>
      </w:r>
      <w:r>
        <w:t>30 January 2026</w:t>
      </w:r>
      <w:r w:rsidRPr="00325D41">
        <w:t xml:space="preserve">. </w:t>
      </w:r>
    </w:p>
  </w:endnote>
  <w:endnote w:id="11">
    <w:p w:rsidR="006008D2">
      <w:pPr>
        <w:pStyle w:val="EndnoteText"/>
      </w:pPr>
      <w:r>
        <w:rPr>
          <w:rStyle w:val="EndnoteReference"/>
        </w:rPr>
        <w:endnoteRef/>
      </w:r>
      <w:r>
        <w:t xml:space="preserve"> </w:t>
      </w:r>
      <w:r>
        <w:t xml:space="preserve">RCGP. (2025). </w:t>
      </w:r>
      <w:r>
        <w:fldChar w:fldCharType="begin"/>
      </w:r>
      <w:r>
        <w:instrText xml:space="preserve"> HYPERLINK "https://www.rcgp.org.uk/getmedia/e6e922ea-97c2-46ef-85fd-a6ecafa91d45/Treasury-Submission-Autumn-Budget-2025.pdf" </w:instrText>
      </w:r>
      <w:r>
        <w:fldChar w:fldCharType="separate"/>
      </w:r>
      <w:r w:rsidRPr="003F46F0">
        <w:rPr>
          <w:rStyle w:val="Hyperlink"/>
        </w:rPr>
        <w:t>RCGP submission to the Autumn Budget 2025</w:t>
      </w:r>
      <w:r>
        <w:fldChar w:fldCharType="end"/>
      </w:r>
      <w:r>
        <w:t>.</w:t>
      </w:r>
      <w:r w:rsidRPr="00C952A5">
        <w:t xml:space="preserve"> </w:t>
      </w:r>
      <w:r w:rsidRPr="00325D41">
        <w:t xml:space="preserve">Accessed </w:t>
      </w:r>
      <w:r>
        <w:t>22 January 2026</w:t>
      </w:r>
      <w:r>
        <w:t>.</w:t>
      </w:r>
    </w:p>
  </w:endnote>
  <w:endnote w:id="12">
    <w:p w:rsidR="006008D2" w:rsidRPr="0008373F" w:rsidP="00351015">
      <w:pPr>
        <w:pStyle w:val="EndnoteText"/>
        <w:rPr>
          <w:lang w:val="en-US"/>
        </w:rPr>
      </w:pPr>
      <w:r>
        <w:rPr>
          <w:rStyle w:val="EndnoteReference"/>
        </w:rPr>
        <w:endnoteRef/>
      </w:r>
      <w:r>
        <w:t xml:space="preserve"> </w:t>
      </w:r>
      <w:r>
        <w:rPr>
          <w:lang w:val="en-US"/>
        </w:rPr>
        <w:t xml:space="preserve">RCGP. (2025). </w:t>
      </w:r>
      <w:r>
        <w:fldChar w:fldCharType="begin"/>
      </w:r>
      <w:r>
        <w:instrText xml:space="preserve"> HYPERLINK "https://www.rcgp.org.uk/getmedia/76288c16-8aa2-4a73-8839-06c091ca5bd0/RCGP-GP-Partnership-Principles-May-2025.pdf" </w:instrText>
      </w:r>
      <w:r>
        <w:fldChar w:fldCharType="separate"/>
      </w:r>
      <w:r w:rsidRPr="003C46FD">
        <w:rPr>
          <w:rStyle w:val="Hyperlink"/>
          <w:lang w:val="en-US"/>
        </w:rPr>
        <w:t>GP Partnership Principles</w:t>
      </w:r>
      <w:r>
        <w:fldChar w:fldCharType="end"/>
      </w:r>
      <w:r>
        <w:rPr>
          <w:lang w:val="en-US"/>
        </w:rPr>
        <w:t xml:space="preserve">. </w:t>
      </w:r>
      <w:r w:rsidRPr="00325D41">
        <w:t xml:space="preserve">Accessed </w:t>
      </w:r>
      <w:r>
        <w:t>28 January 2026</w:t>
      </w:r>
      <w:r w:rsidRPr="00325D41">
        <w:t xml:space="preserve">. </w:t>
      </w:r>
    </w:p>
  </w:endnote>
  <w:endnote w:id="13">
    <w:p w:rsidR="006008D2" w:rsidRPr="00BD56F1" w:rsidP="00573CAC">
      <w:pPr>
        <w:pStyle w:val="EndnoteText"/>
        <w:rPr>
          <w:lang w:val="en-US"/>
        </w:rPr>
      </w:pPr>
      <w:r>
        <w:rPr>
          <w:rStyle w:val="EndnoteReference"/>
        </w:rPr>
        <w:endnoteRef/>
      </w:r>
      <w:r>
        <w:t xml:space="preserve"> </w:t>
      </w:r>
      <w:r w:rsidRPr="00573CAC">
        <w:t>DHSC</w:t>
      </w:r>
      <w:r>
        <w:t xml:space="preserve">. (2019) </w:t>
      </w:r>
      <w:r>
        <w:fldChar w:fldCharType="begin"/>
      </w:r>
      <w:r>
        <w:instrText xml:space="preserve"> HYPERLINK "https://assets.publishing.service.gov.uk/media/5c3ca241ed915d50b4b47223/gp-partnership-review-final-report.pdf" </w:instrText>
      </w:r>
      <w:r>
        <w:fldChar w:fldCharType="separate"/>
      </w:r>
      <w:r w:rsidRPr="00573CAC">
        <w:rPr>
          <w:rStyle w:val="Hyperlink"/>
        </w:rPr>
        <w:t>GP Partnership Review: Final Report</w:t>
      </w:r>
      <w:r>
        <w:fldChar w:fldCharType="end"/>
      </w:r>
      <w:r>
        <w:t xml:space="preserve">. </w:t>
      </w:r>
      <w:r w:rsidRPr="00325D41">
        <w:t xml:space="preserve">Accessed </w:t>
      </w:r>
      <w:r>
        <w:t>22 January 2026</w:t>
      </w:r>
    </w:p>
  </w:endnote>
  <w:endnote w:id="14">
    <w:p w:rsidR="006008D2">
      <w:pPr>
        <w:pStyle w:val="EndnoteText"/>
      </w:pPr>
      <w:r>
        <w:rPr>
          <w:rStyle w:val="EndnoteReference"/>
        </w:rPr>
        <w:endnoteRef/>
      </w:r>
      <w:r>
        <w:t xml:space="preserve"> </w:t>
      </w:r>
      <w:r>
        <w:fldChar w:fldCharType="begin"/>
      </w:r>
      <w:r>
        <w:instrText xml:space="preserve"> HYPERLINK "https://www.pulsetoday.co.uk/views/cpd/cpd-making-primary-care-greener/" </w:instrText>
      </w:r>
      <w:r>
        <w:fldChar w:fldCharType="separate"/>
      </w:r>
      <w:r w:rsidRPr="009743C6">
        <w:rPr>
          <w:rStyle w:val="Hyperlink"/>
        </w:rPr>
        <w:t>Pulse Today (2021), CPD: Making primary care greener</w:t>
      </w:r>
      <w:r>
        <w:fldChar w:fldCharType="end"/>
      </w:r>
      <w:r w:rsidRPr="00325D41">
        <w:t xml:space="preserve">. Accessed </w:t>
      </w:r>
      <w:r>
        <w:t>22 January 2026</w:t>
      </w:r>
      <w:r w:rsidRPr="00325D41">
        <w:t xml:space="preserve">. </w:t>
      </w:r>
    </w:p>
  </w:endnote>
  <w:endnote w:id="15">
    <w:p w:rsidR="006008D2">
      <w:pPr>
        <w:pStyle w:val="EndnoteText"/>
      </w:pPr>
      <w:r>
        <w:rPr>
          <w:rStyle w:val="EndnoteReference"/>
        </w:rPr>
        <w:endnoteRef/>
      </w:r>
      <w:r>
        <w:t xml:space="preserve"> DHSC. 2024. </w:t>
      </w:r>
      <w:r>
        <w:fldChar w:fldCharType="begin"/>
      </w:r>
      <w:r>
        <w:instrText xml:space="preserve"> HYPERLINK "https://www.gov.uk/government/publications/independent-investigation-of-the-nhs-in-england/independent-investigation-of-the-national-health-service-in-england-accessible-version" </w:instrText>
      </w:r>
      <w:r>
        <w:fldChar w:fldCharType="separate"/>
      </w:r>
      <w:r w:rsidRPr="00F44DFD">
        <w:rPr>
          <w:rStyle w:val="Hyperlink"/>
        </w:rPr>
        <w:t>Independent Investigation of the National Health Service in England.</w:t>
      </w:r>
      <w:r>
        <w:fldChar w:fldCharType="end"/>
      </w:r>
      <w:r>
        <w:t xml:space="preserve"> </w:t>
      </w:r>
      <w:r w:rsidRPr="00325D41">
        <w:t xml:space="preserve">Accessed </w:t>
      </w:r>
      <w:r>
        <w:t>22 January 2026</w:t>
      </w:r>
      <w:r w:rsidRPr="00325D41">
        <w:t xml:space="preserve">. </w:t>
      </w:r>
    </w:p>
  </w:endnote>
  <w:endnote w:id="16">
    <w:p w:rsidR="006008D2">
      <w:pPr>
        <w:pStyle w:val="EndnoteText"/>
      </w:pPr>
      <w:r>
        <w:rPr>
          <w:rStyle w:val="EndnoteReference"/>
        </w:rPr>
        <w:endnoteRef/>
      </w:r>
      <w:r>
        <w:t xml:space="preserve"> </w:t>
      </w:r>
      <w:r w:rsidRPr="00CC2CE8">
        <w:t>Ibid</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B2936"/>
    <w:multiLevelType w:val="hybridMultilevel"/>
    <w:tmpl w:val="A64659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042275"/>
    <w:multiLevelType w:val="hybridMultilevel"/>
    <w:tmpl w:val="17488FFA"/>
    <w:lvl w:ilvl="0">
      <w:start w:val="2"/>
      <w:numFmt w:val="bullet"/>
      <w:lvlText w:val="-"/>
      <w:lvlJc w:val="left"/>
      <w:pPr>
        <w:ind w:left="720" w:hanging="360"/>
      </w:pPr>
      <w:rPr>
        <w:rFonts w:ascii="Lato" w:hAnsi="Lat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F14F4"/>
    <w:multiLevelType w:val="multilevel"/>
    <w:tmpl w:val="1B40A54C"/>
    <w:lvl w:ilvl="0">
      <w:start w:val="1"/>
      <w:numFmt w:val="decimal"/>
      <w:lvlText w:val="%1."/>
      <w:lvlJc w:val="left"/>
      <w:pPr>
        <w:ind w:left="360" w:hanging="360"/>
      </w:pPr>
      <w:rPr>
        <w:rFonts w:hint="default"/>
        <w:color w:val="C00000"/>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E3AA7"/>
    <w:multiLevelType w:val="hybridMultilevel"/>
    <w:tmpl w:val="C80058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2822AB"/>
    <w:multiLevelType w:val="hybridMultilevel"/>
    <w:tmpl w:val="4C526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1E314E"/>
    <w:multiLevelType w:val="multilevel"/>
    <w:tmpl w:val="C9F8E8E8"/>
    <w:lvl w:ilvl="0">
      <w:start w:val="1"/>
      <w:numFmt w:val="decimal"/>
      <w:lvlText w:val="%1."/>
      <w:lvlJc w:val="left"/>
      <w:pPr>
        <w:ind w:left="360" w:hanging="360"/>
      </w:pPr>
      <w:rPr>
        <w:rFonts w:hint="default"/>
        <w:color w:val="0070C0"/>
      </w:rPr>
    </w:lvl>
    <w:lvl w:ilvl="1">
      <w:start w:val="1"/>
      <w:numFmt w:val="upperLetter"/>
      <w:lvlText w:val="%2)"/>
      <w:lvlJc w:val="right"/>
      <w:pPr>
        <w:ind w:left="720" w:hanging="360"/>
      </w:pPr>
      <w:rPr>
        <w:rFonts w:ascii="Lato" w:hAnsi="Lato" w:eastAsiaTheme="minorHAnsi" w:cstheme="minorBid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953727"/>
    <w:multiLevelType w:val="hybridMultilevel"/>
    <w:tmpl w:val="C05E739C"/>
    <w:lvl w:ilvl="0">
      <w:start w:val="1"/>
      <w:numFmt w:val="lowerLetter"/>
      <w:lvlText w:val="%1)"/>
      <w:lvlJc w:val="left"/>
      <w:pPr>
        <w:ind w:left="720" w:hanging="360"/>
      </w:pPr>
      <w:rPr>
        <w:rFonts w:hint="default"/>
        <w:color w:val="0070C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744DF"/>
    <w:multiLevelType w:val="hybridMultilevel"/>
    <w:tmpl w:val="E21E5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BA4922"/>
    <w:multiLevelType w:val="hybridMultilevel"/>
    <w:tmpl w:val="D7546894"/>
    <w:lvl w:ilvl="0">
      <w:start w:val="2"/>
      <w:numFmt w:val="bullet"/>
      <w:lvlText w:val="-"/>
      <w:lvlJc w:val="left"/>
      <w:pPr>
        <w:ind w:left="720" w:hanging="360"/>
      </w:pPr>
      <w:rPr>
        <w:rFonts w:ascii="Lato" w:hAnsi="Lat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C262EB"/>
    <w:multiLevelType w:val="multilevel"/>
    <w:tmpl w:val="B77C9E8C"/>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A086B"/>
    <w:multiLevelType w:val="multilevel"/>
    <w:tmpl w:val="B77C9E8C"/>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E563F7"/>
    <w:multiLevelType w:val="hybridMultilevel"/>
    <w:tmpl w:val="9578B7E2"/>
    <w:lvl w:ilvl="0">
      <w:start w:val="10"/>
      <w:numFmt w:val="bullet"/>
      <w:lvlText w:val="-"/>
      <w:lvlJc w:val="left"/>
      <w:pPr>
        <w:ind w:left="720" w:hanging="360"/>
      </w:pPr>
      <w:rPr>
        <w:rFonts w:ascii="Lato" w:hAnsi="Lato"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62323B"/>
    <w:multiLevelType w:val="hybridMultilevel"/>
    <w:tmpl w:val="F23A1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324F7C"/>
    <w:multiLevelType w:val="hybridMultilevel"/>
    <w:tmpl w:val="118CA598"/>
    <w:lvl w:ilvl="0">
      <w:start w:val="2"/>
      <w:numFmt w:val="bullet"/>
      <w:lvlText w:val=""/>
      <w:lvlJc w:val="left"/>
      <w:pPr>
        <w:ind w:left="1080" w:hanging="360"/>
      </w:pPr>
      <w:rPr>
        <w:rFonts w:ascii="Symbol" w:hAnsi="Symbol" w:eastAsiaTheme="minorHAnsi" w:cstheme="minorBidi"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4E70A5D"/>
    <w:multiLevelType w:val="multilevel"/>
    <w:tmpl w:val="D10A11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51A38AF"/>
    <w:multiLevelType w:val="multilevel"/>
    <w:tmpl w:val="B77C9E8C"/>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054C48"/>
    <w:multiLevelType w:val="hybridMultilevel"/>
    <w:tmpl w:val="09344BA4"/>
    <w:lvl w:ilvl="0">
      <w:start w:val="2"/>
      <w:numFmt w:val="bullet"/>
      <w:lvlText w:val="-"/>
      <w:lvlJc w:val="left"/>
      <w:pPr>
        <w:ind w:left="360" w:hanging="360"/>
      </w:pPr>
      <w:rPr>
        <w:rFonts w:ascii="Lato" w:hAnsi="Lato" w:eastAsiaTheme="minorHAns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F467D68"/>
    <w:multiLevelType w:val="hybridMultilevel"/>
    <w:tmpl w:val="A4E68D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4C00F0"/>
    <w:multiLevelType w:val="hybridMultilevel"/>
    <w:tmpl w:val="6048384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585A42B9"/>
    <w:multiLevelType w:val="multilevel"/>
    <w:tmpl w:val="D1D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74B46"/>
    <w:multiLevelType w:val="hybridMultilevel"/>
    <w:tmpl w:val="95CC51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AA7E5A"/>
    <w:multiLevelType w:val="hybridMultilevel"/>
    <w:tmpl w:val="7B249E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3E5E3C"/>
    <w:multiLevelType w:val="hybridMultilevel"/>
    <w:tmpl w:val="D598C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847168"/>
    <w:multiLevelType w:val="hybridMultilevel"/>
    <w:tmpl w:val="CB88B3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4">
    <w:nsid w:val="69621108"/>
    <w:multiLevelType w:val="multilevel"/>
    <w:tmpl w:val="955C777C"/>
    <w:lvl w:ilvl="0">
      <w:start w:val="11"/>
      <w:numFmt w:val="decimal"/>
      <w:lvlText w:val="%1."/>
      <w:lvlJc w:val="left"/>
      <w:pPr>
        <w:ind w:left="360" w:hanging="360"/>
      </w:pPr>
      <w:rPr>
        <w:rFonts w:hint="default"/>
        <w:color w:val="C00000"/>
      </w:rPr>
    </w:lvl>
    <w:lvl w:ilvl="1">
      <w:start w:val="1"/>
      <w:numFmt w:val="lowerRoman"/>
      <w:lvlText w:val="%2."/>
      <w:lvlJc w:val="right"/>
      <w:pPr>
        <w:ind w:left="720" w:hanging="360"/>
      </w:pPr>
      <w:rPr>
        <w:rFonts w:hint="default"/>
        <w:color w:val="EE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A615820"/>
    <w:multiLevelType w:val="multilevel"/>
    <w:tmpl w:val="253E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04532E"/>
    <w:multiLevelType w:val="hybridMultilevel"/>
    <w:tmpl w:val="A77027AA"/>
    <w:lvl w:ilvl="0">
      <w:start w:val="1"/>
      <w:numFmt w:val="decimal"/>
      <w:lvlText w:val="%1."/>
      <w:lvlJc w:val="left"/>
      <w:pPr>
        <w:ind w:left="1320" w:hanging="360"/>
      </w:pPr>
    </w:lvl>
    <w:lvl w:ilvl="1">
      <w:start w:val="1"/>
      <w:numFmt w:val="decimal"/>
      <w:lvlText w:val="%2."/>
      <w:lvlJc w:val="left"/>
      <w:pPr>
        <w:ind w:left="1320" w:hanging="360"/>
      </w:pPr>
    </w:lvl>
    <w:lvl w:ilvl="2">
      <w:start w:val="1"/>
      <w:numFmt w:val="decimal"/>
      <w:lvlText w:val="%3."/>
      <w:lvlJc w:val="left"/>
      <w:pPr>
        <w:ind w:left="1320" w:hanging="360"/>
      </w:pPr>
    </w:lvl>
    <w:lvl w:ilvl="3">
      <w:start w:val="1"/>
      <w:numFmt w:val="decimal"/>
      <w:lvlText w:val="%4."/>
      <w:lvlJc w:val="left"/>
      <w:pPr>
        <w:ind w:left="1320" w:hanging="360"/>
      </w:pPr>
    </w:lvl>
    <w:lvl w:ilvl="4">
      <w:start w:val="1"/>
      <w:numFmt w:val="decimal"/>
      <w:lvlText w:val="%5."/>
      <w:lvlJc w:val="left"/>
      <w:pPr>
        <w:ind w:left="1320" w:hanging="360"/>
      </w:pPr>
    </w:lvl>
    <w:lvl w:ilvl="5">
      <w:start w:val="1"/>
      <w:numFmt w:val="decimal"/>
      <w:lvlText w:val="%6."/>
      <w:lvlJc w:val="left"/>
      <w:pPr>
        <w:ind w:left="1320" w:hanging="360"/>
      </w:pPr>
    </w:lvl>
    <w:lvl w:ilvl="6">
      <w:start w:val="1"/>
      <w:numFmt w:val="decimal"/>
      <w:lvlText w:val="%7."/>
      <w:lvlJc w:val="left"/>
      <w:pPr>
        <w:ind w:left="1320" w:hanging="360"/>
      </w:pPr>
    </w:lvl>
    <w:lvl w:ilvl="7">
      <w:start w:val="1"/>
      <w:numFmt w:val="decimal"/>
      <w:lvlText w:val="%8."/>
      <w:lvlJc w:val="left"/>
      <w:pPr>
        <w:ind w:left="1320" w:hanging="360"/>
      </w:pPr>
    </w:lvl>
    <w:lvl w:ilvl="8">
      <w:start w:val="1"/>
      <w:numFmt w:val="decimal"/>
      <w:lvlText w:val="%9."/>
      <w:lvlJc w:val="left"/>
      <w:pPr>
        <w:ind w:left="1320" w:hanging="360"/>
      </w:pPr>
    </w:lvl>
  </w:abstractNum>
  <w:abstractNum w:abstractNumId="27">
    <w:nsid w:val="6B6B248F"/>
    <w:multiLevelType w:val="hybridMultilevel"/>
    <w:tmpl w:val="71B0E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767307"/>
    <w:multiLevelType w:val="hybridMultilevel"/>
    <w:tmpl w:val="405C6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6"/>
  </w:num>
  <w:num w:numId="4">
    <w:abstractNumId w:val="28"/>
  </w:num>
  <w:num w:numId="5">
    <w:abstractNumId w:val="11"/>
  </w:num>
  <w:num w:numId="6">
    <w:abstractNumId w:val="19"/>
  </w:num>
  <w:num w:numId="7">
    <w:abstractNumId w:val="14"/>
  </w:num>
  <w:num w:numId="8">
    <w:abstractNumId w:val="15"/>
  </w:num>
  <w:num w:numId="9">
    <w:abstractNumId w:val="12"/>
  </w:num>
  <w:num w:numId="10">
    <w:abstractNumId w:val="3"/>
  </w:num>
  <w:num w:numId="11">
    <w:abstractNumId w:val="4"/>
  </w:num>
  <w:num w:numId="12">
    <w:abstractNumId w:val="7"/>
  </w:num>
  <w:num w:numId="13">
    <w:abstractNumId w:val="1"/>
  </w:num>
  <w:num w:numId="14">
    <w:abstractNumId w:val="8"/>
  </w:num>
  <w:num w:numId="15">
    <w:abstractNumId w:val="18"/>
  </w:num>
  <w:num w:numId="16">
    <w:abstractNumId w:val="27"/>
  </w:num>
  <w:num w:numId="17">
    <w:abstractNumId w:val="23"/>
  </w:num>
  <w:num w:numId="18">
    <w:abstractNumId w:val="10"/>
  </w:num>
  <w:num w:numId="19">
    <w:abstractNumId w:val="13"/>
  </w:num>
  <w:num w:numId="20">
    <w:abstractNumId w:val="5"/>
  </w:num>
  <w:num w:numId="21">
    <w:abstractNumId w:val="2"/>
  </w:num>
  <w:num w:numId="22">
    <w:abstractNumId w:val="17"/>
  </w:num>
  <w:num w:numId="23">
    <w:abstractNumId w:val="24"/>
  </w:num>
  <w:num w:numId="24">
    <w:abstractNumId w:val="26"/>
  </w:num>
  <w:num w:numId="25">
    <w:abstractNumId w:val="22"/>
  </w:num>
  <w:num w:numId="26">
    <w:abstractNumId w:val="6"/>
  </w:num>
  <w:num w:numId="27">
    <w:abstractNumId w:val="0"/>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NotTrackMoves/>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C56FA2"/>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paragraph" w:styleId="Heading7">
    <w:name w:val="heading 7"/>
    <w:basedOn w:val="Normal"/>
    <w:next w:val="Normal"/>
    <w:link w:val="Heading7Char"/>
    <w:uiPriority w:val="9"/>
    <w:semiHidden/>
    <w:unhideWhenUsed/>
    <w:rsid w:val="009D291F"/>
    <w:pPr>
      <w:keepNext/>
      <w:keepLines/>
      <w:spacing w:before="40"/>
      <w:outlineLvl w:val="6"/>
    </w:pPr>
    <w:rPr>
      <w:rFonts w:asciiTheme="minorHAnsi" w:eastAsiaTheme="majorEastAsia" w:hAnsiTheme="minorHAnsi" w:cstheme="majorBidi"/>
      <w:color w:val="006EED" w:themeColor="text1" w:themeTint="A6"/>
    </w:rPr>
  </w:style>
  <w:style w:type="paragraph" w:styleId="Heading8">
    <w:name w:val="heading 8"/>
    <w:basedOn w:val="Normal"/>
    <w:next w:val="Normal"/>
    <w:link w:val="Heading8Char"/>
    <w:uiPriority w:val="9"/>
    <w:semiHidden/>
    <w:unhideWhenUsed/>
    <w:qFormat/>
    <w:rsid w:val="009D291F"/>
    <w:pPr>
      <w:keepNext/>
      <w:keepLines/>
      <w:outlineLvl w:val="7"/>
    </w:pPr>
    <w:rPr>
      <w:rFonts w:asciiTheme="minorHAnsi" w:eastAsiaTheme="majorEastAsia" w:hAnsiTheme="minorHAnsi" w:cstheme="majorBidi"/>
      <w:i/>
      <w:iCs/>
      <w:color w:val="00489B" w:themeColor="text1" w:themeTint="D8"/>
    </w:rPr>
  </w:style>
  <w:style w:type="paragraph" w:styleId="Heading9">
    <w:name w:val="heading 9"/>
    <w:basedOn w:val="Normal"/>
    <w:next w:val="Normal"/>
    <w:link w:val="Heading9Char"/>
    <w:uiPriority w:val="9"/>
    <w:semiHidden/>
    <w:unhideWhenUsed/>
    <w:qFormat/>
    <w:rsid w:val="009D291F"/>
    <w:pPr>
      <w:keepNext/>
      <w:keepLines/>
      <w:outlineLvl w:val="8"/>
    </w:pPr>
    <w:rPr>
      <w:rFonts w:asciiTheme="minorHAnsi" w:eastAsiaTheme="majorEastAsia" w:hAnsiTheme="minorHAnsi" w:cstheme="majorBidi"/>
      <w:color w:val="00489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customStyle="1" w:styleId="PlainTable21">
    <w:name w:val="Plain Table 21"/>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Yu Mincho" w:hAnsi="Yu Minch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Yu Mincho" w:hAnsi="Yu Minch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Yu Mincho" w:hAnsi="Yu Mincho"/>
        <w:b/>
        <w:color w:val="FFFFFF" w:themeColor="background2"/>
        <w:sz w:val="22"/>
      </w:rPr>
      <w:tblPr/>
      <w:tcPr>
        <w:shd w:val="clear" w:color="auto" w:fill="1059A9"/>
        <w:vAlign w:val="center"/>
      </w:tcPr>
    </w:tblStylePr>
  </w:style>
  <w:style w:type="character" w:customStyle="1" w:styleId="UnresolvedMention1">
    <w:name w:val="Unresolved Mention1"/>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customStyle="1" w:styleId="Heading7Char">
    <w:name w:val="Heading 7 Char"/>
    <w:basedOn w:val="DefaultParagraphFont"/>
    <w:link w:val="Heading7"/>
    <w:uiPriority w:val="9"/>
    <w:semiHidden/>
    <w:rsid w:val="009D291F"/>
    <w:rPr>
      <w:rFonts w:eastAsiaTheme="majorEastAsia" w:cstheme="majorBidi"/>
      <w:color w:val="006EED" w:themeColor="text1" w:themeTint="A6"/>
      <w:sz w:val="24"/>
      <w:lang w:val="en-GB"/>
    </w:rPr>
  </w:style>
  <w:style w:type="character" w:customStyle="1" w:styleId="Heading8Char">
    <w:name w:val="Heading 8 Char"/>
    <w:basedOn w:val="DefaultParagraphFont"/>
    <w:link w:val="Heading8"/>
    <w:uiPriority w:val="9"/>
    <w:semiHidden/>
    <w:rsid w:val="009D291F"/>
    <w:rPr>
      <w:rFonts w:eastAsiaTheme="majorEastAsia" w:cstheme="majorBidi"/>
      <w:i/>
      <w:iCs/>
      <w:color w:val="00489B" w:themeColor="text1" w:themeTint="D8"/>
      <w:sz w:val="24"/>
      <w:lang w:val="en-GB"/>
    </w:rPr>
  </w:style>
  <w:style w:type="character" w:customStyle="1" w:styleId="Heading9Char">
    <w:name w:val="Heading 9 Char"/>
    <w:basedOn w:val="DefaultParagraphFont"/>
    <w:link w:val="Heading9"/>
    <w:uiPriority w:val="9"/>
    <w:semiHidden/>
    <w:rsid w:val="009D291F"/>
    <w:rPr>
      <w:rFonts w:eastAsiaTheme="majorEastAsia" w:cstheme="majorBidi"/>
      <w:color w:val="00489B" w:themeColor="text1" w:themeTint="D8"/>
      <w:sz w:val="24"/>
      <w:lang w:val="en-GB"/>
    </w:rPr>
  </w:style>
  <w:style w:type="paragraph" w:styleId="Subtitle">
    <w:name w:val="Subtitle"/>
    <w:basedOn w:val="Normal"/>
    <w:next w:val="Normal"/>
    <w:link w:val="SubtitleChar"/>
    <w:uiPriority w:val="11"/>
    <w:rsid w:val="009D291F"/>
    <w:pPr>
      <w:numPr>
        <w:ilvl w:val="1"/>
      </w:numPr>
      <w:spacing w:after="160"/>
    </w:pPr>
    <w:rPr>
      <w:rFonts w:asciiTheme="minorHAnsi" w:eastAsiaTheme="majorEastAsia" w:hAnsiTheme="minorHAnsi" w:cstheme="majorBidi"/>
      <w:color w:val="006EED" w:themeColor="text1" w:themeTint="A6"/>
      <w:spacing w:val="15"/>
      <w:sz w:val="28"/>
      <w:szCs w:val="28"/>
    </w:rPr>
  </w:style>
  <w:style w:type="character" w:customStyle="1" w:styleId="SubtitleChar">
    <w:name w:val="Subtitle Char"/>
    <w:basedOn w:val="DefaultParagraphFont"/>
    <w:link w:val="Subtitle"/>
    <w:uiPriority w:val="11"/>
    <w:rsid w:val="009D291F"/>
    <w:rPr>
      <w:rFonts w:eastAsiaTheme="majorEastAsia" w:cstheme="majorBidi"/>
      <w:color w:val="006EED" w:themeColor="text1" w:themeTint="A6"/>
      <w:spacing w:val="15"/>
      <w:sz w:val="28"/>
      <w:szCs w:val="28"/>
      <w:lang w:val="en-GB"/>
    </w:rPr>
  </w:style>
  <w:style w:type="paragraph" w:styleId="Quote">
    <w:name w:val="Quote"/>
    <w:basedOn w:val="Normal"/>
    <w:next w:val="Normal"/>
    <w:link w:val="QuoteChar"/>
    <w:uiPriority w:val="29"/>
    <w:rsid w:val="009D291F"/>
    <w:pPr>
      <w:spacing w:before="160" w:after="160"/>
      <w:jc w:val="center"/>
    </w:pPr>
    <w:rPr>
      <w:i/>
      <w:iCs/>
      <w:color w:val="005BC4" w:themeColor="text1" w:themeTint="BF"/>
    </w:rPr>
  </w:style>
  <w:style w:type="character" w:customStyle="1" w:styleId="QuoteChar">
    <w:name w:val="Quote Char"/>
    <w:basedOn w:val="DefaultParagraphFont"/>
    <w:link w:val="Quote"/>
    <w:uiPriority w:val="29"/>
    <w:rsid w:val="009D291F"/>
    <w:rPr>
      <w:rFonts w:ascii="Lato" w:hAnsi="Lato"/>
      <w:i/>
      <w:iCs/>
      <w:color w:val="005BC4" w:themeColor="text1" w:themeTint="BF"/>
      <w:sz w:val="24"/>
      <w:lang w:val="en-GB"/>
    </w:rPr>
  </w:style>
  <w:style w:type="paragraph" w:styleId="ListParagraph">
    <w:name w:val="List Paragraph"/>
    <w:basedOn w:val="Normal"/>
    <w:link w:val="ListParagraphChar"/>
    <w:uiPriority w:val="34"/>
    <w:qFormat/>
    <w:rsid w:val="009D291F"/>
    <w:pPr>
      <w:ind w:left="720"/>
      <w:contextualSpacing/>
    </w:pPr>
  </w:style>
  <w:style w:type="character" w:styleId="IntenseEmphasis">
    <w:name w:val="Intense Emphasis"/>
    <w:basedOn w:val="DefaultParagraphFont"/>
    <w:uiPriority w:val="21"/>
    <w:rsid w:val="009D291F"/>
    <w:rPr>
      <w:i/>
      <w:iCs/>
      <w:color w:val="002044" w:themeColor="accent1" w:themeShade="BF"/>
    </w:rPr>
  </w:style>
  <w:style w:type="paragraph" w:styleId="IntenseQuote">
    <w:name w:val="Intense Quote"/>
    <w:basedOn w:val="Normal"/>
    <w:next w:val="Normal"/>
    <w:link w:val="IntenseQuoteChar"/>
    <w:uiPriority w:val="30"/>
    <w:rsid w:val="009D291F"/>
    <w:pPr>
      <w:pBdr>
        <w:top w:val="single" w:sz="4" w:space="10" w:color="002044" w:themeColor="accent1" w:themeShade="BF"/>
        <w:bottom w:val="single" w:sz="4" w:space="10" w:color="002044" w:themeColor="accent1" w:themeShade="BF"/>
      </w:pBdr>
      <w:spacing w:before="360" w:after="360"/>
      <w:ind w:left="864" w:right="864"/>
      <w:jc w:val="center"/>
    </w:pPr>
    <w:rPr>
      <w:i/>
      <w:iCs/>
      <w:color w:val="002044" w:themeColor="accent1" w:themeShade="BF"/>
    </w:rPr>
  </w:style>
  <w:style w:type="character" w:customStyle="1" w:styleId="IntenseQuoteChar">
    <w:name w:val="Intense Quote Char"/>
    <w:basedOn w:val="DefaultParagraphFont"/>
    <w:link w:val="IntenseQuote"/>
    <w:uiPriority w:val="30"/>
    <w:rsid w:val="009D291F"/>
    <w:rPr>
      <w:rFonts w:ascii="Lato" w:hAnsi="Lato"/>
      <w:i/>
      <w:iCs/>
      <w:color w:val="002044" w:themeColor="accent1" w:themeShade="BF"/>
      <w:sz w:val="24"/>
      <w:lang w:val="en-GB"/>
    </w:rPr>
  </w:style>
  <w:style w:type="character" w:styleId="IntenseReference">
    <w:name w:val="Intense Reference"/>
    <w:basedOn w:val="DefaultParagraphFont"/>
    <w:uiPriority w:val="32"/>
    <w:rsid w:val="009D291F"/>
    <w:rPr>
      <w:b/>
      <w:bCs/>
      <w:smallCaps/>
      <w:color w:val="002044" w:themeColor="accent1" w:themeShade="BF"/>
      <w:spacing w:val="5"/>
    </w:rPr>
  </w:style>
  <w:style w:type="paragraph" w:styleId="NormalWeb">
    <w:name w:val="Normal (Web)"/>
    <w:basedOn w:val="Normal"/>
    <w:uiPriority w:val="99"/>
    <w:unhideWhenUsed/>
    <w:rsid w:val="009D291F"/>
    <w:rPr>
      <w:rFonts w:ascii="Times New Roman" w:hAnsi="Times New Roman" w:cs="Times New Roman"/>
      <w:szCs w:val="24"/>
    </w:rPr>
  </w:style>
  <w:style w:type="character" w:customStyle="1" w:styleId="ListParagraphChar">
    <w:name w:val="List Paragraph Char"/>
    <w:link w:val="ListParagraph"/>
    <w:uiPriority w:val="34"/>
    <w:locked/>
    <w:rsid w:val="009B6721"/>
    <w:rPr>
      <w:rFonts w:ascii="Lato" w:hAnsi="Lato"/>
      <w:color w:val="002B5C" w:themeColor="text1"/>
      <w:sz w:val="24"/>
      <w:lang w:val="en-GB"/>
    </w:rPr>
  </w:style>
  <w:style w:type="character" w:styleId="CommentReference">
    <w:name w:val="annotation reference"/>
    <w:basedOn w:val="DefaultParagraphFont"/>
    <w:uiPriority w:val="99"/>
    <w:semiHidden/>
    <w:unhideWhenUsed/>
    <w:rsid w:val="00250195"/>
    <w:rPr>
      <w:sz w:val="16"/>
      <w:szCs w:val="16"/>
    </w:rPr>
  </w:style>
  <w:style w:type="paragraph" w:styleId="CommentText">
    <w:name w:val="annotation text"/>
    <w:basedOn w:val="Normal"/>
    <w:link w:val="CommentTextChar"/>
    <w:uiPriority w:val="99"/>
    <w:unhideWhenUsed/>
    <w:rsid w:val="00250195"/>
    <w:pPr>
      <w:spacing w:line="240" w:lineRule="auto"/>
    </w:pPr>
    <w:rPr>
      <w:sz w:val="20"/>
      <w:szCs w:val="20"/>
    </w:rPr>
  </w:style>
  <w:style w:type="character" w:customStyle="1" w:styleId="CommentTextChar">
    <w:name w:val="Comment Text Char"/>
    <w:basedOn w:val="DefaultParagraphFont"/>
    <w:link w:val="CommentText"/>
    <w:uiPriority w:val="99"/>
    <w:rsid w:val="00250195"/>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250195"/>
    <w:rPr>
      <w:b/>
      <w:bCs/>
    </w:rPr>
  </w:style>
  <w:style w:type="character" w:customStyle="1" w:styleId="CommentSubjectChar">
    <w:name w:val="Comment Subject Char"/>
    <w:basedOn w:val="CommentTextChar"/>
    <w:link w:val="CommentSubject"/>
    <w:uiPriority w:val="99"/>
    <w:semiHidden/>
    <w:rsid w:val="00250195"/>
    <w:rPr>
      <w:rFonts w:ascii="Lato" w:hAnsi="Lato"/>
      <w:b/>
      <w:bCs/>
      <w:color w:val="002B5C" w:themeColor="text1"/>
      <w:sz w:val="20"/>
      <w:szCs w:val="20"/>
      <w:lang w:val="en-GB"/>
    </w:rPr>
  </w:style>
  <w:style w:type="paragraph" w:styleId="EndnoteText">
    <w:name w:val="endnote text"/>
    <w:basedOn w:val="Normal"/>
    <w:link w:val="EndnoteTextChar"/>
    <w:uiPriority w:val="99"/>
    <w:semiHidden/>
    <w:unhideWhenUsed/>
    <w:rsid w:val="00250195"/>
    <w:pPr>
      <w:spacing w:line="240" w:lineRule="auto"/>
    </w:pPr>
    <w:rPr>
      <w:sz w:val="20"/>
      <w:szCs w:val="20"/>
    </w:rPr>
  </w:style>
  <w:style w:type="character" w:customStyle="1" w:styleId="EndnoteTextChar">
    <w:name w:val="Endnote Text Char"/>
    <w:basedOn w:val="DefaultParagraphFont"/>
    <w:link w:val="EndnoteText"/>
    <w:uiPriority w:val="99"/>
    <w:semiHidden/>
    <w:rsid w:val="00250195"/>
    <w:rPr>
      <w:rFonts w:ascii="Lato" w:hAnsi="Lato"/>
      <w:color w:val="002B5C" w:themeColor="text1"/>
      <w:sz w:val="20"/>
      <w:szCs w:val="20"/>
      <w:lang w:val="en-GB"/>
    </w:rPr>
  </w:style>
  <w:style w:type="character" w:styleId="EndnoteReference">
    <w:name w:val="endnote reference"/>
    <w:basedOn w:val="DefaultParagraphFont"/>
    <w:uiPriority w:val="99"/>
    <w:semiHidden/>
    <w:unhideWhenUsed/>
    <w:rsid w:val="00250195"/>
    <w:rPr>
      <w:vertAlign w:val="superscript"/>
    </w:rPr>
  </w:style>
  <w:style w:type="character" w:styleId="Strong">
    <w:name w:val="Strong"/>
    <w:basedOn w:val="DefaultParagraphFont"/>
    <w:uiPriority w:val="22"/>
    <w:qFormat/>
    <w:rsid w:val="00CB5F67"/>
    <w:rPr>
      <w:b/>
      <w:bCs/>
    </w:rPr>
  </w:style>
  <w:style w:type="character" w:customStyle="1" w:styleId="Mention1">
    <w:name w:val="Mention1"/>
    <w:basedOn w:val="DefaultParagraphFont"/>
    <w:uiPriority w:val="99"/>
    <w:unhideWhenUsed/>
    <w:rsid w:val="00315DAF"/>
    <w:rPr>
      <w:color w:val="2B579A"/>
      <w:shd w:val="clear" w:color="auto" w:fill="E1DFDD"/>
    </w:rPr>
  </w:style>
  <w:style w:type="paragraph" w:styleId="Revision">
    <w:name w:val="Revision"/>
    <w:hidden/>
    <w:uiPriority w:val="99"/>
    <w:semiHidden/>
    <w:rsid w:val="00274192"/>
    <w:pPr>
      <w:spacing w:after="0" w:line="240" w:lineRule="auto"/>
    </w:pPr>
    <w:rPr>
      <w:rFonts w:ascii="Lato" w:hAnsi="Lato"/>
      <w:color w:val="002B5C" w:themeColor="text1"/>
      <w:sz w:val="24"/>
      <w:lang w:val="en-GB"/>
    </w:rPr>
  </w:style>
  <w:style w:type="character" w:styleId="Emphasis">
    <w:name w:val="Emphasis"/>
    <w:basedOn w:val="DefaultParagraphFont"/>
    <w:uiPriority w:val="20"/>
    <w:qFormat/>
    <w:rsid w:val="00725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DNE0010</dc:title>
  <cp:revision>0</cp:revision>
</cp:coreProperties>
</file>