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4D227B" w:rsidRDefault="007372A4" w:rsidP="00D36D76">
            <w:pPr>
              <w:numPr>
                <w:ilvl w:val="0"/>
                <w:numId w:val="9"/>
              </w:numPr>
              <w:rPr>
                <w:rFonts w:cs="Arial"/>
                <w:b/>
                <w:sz w:val="24"/>
                <w:szCs w:val="24"/>
              </w:rPr>
            </w:pPr>
            <w:r w:rsidRPr="004D227B">
              <w:rPr>
                <w:rFonts w:cs="Arial"/>
                <w:b/>
                <w:sz w:val="24"/>
                <w:szCs w:val="24"/>
              </w:rPr>
              <w:t xml:space="preserve">We have not reviewed the evidence for the recommendations shaded in grey. Therefore, </w:t>
            </w:r>
            <w:r w:rsidR="004D0289" w:rsidRPr="004D227B">
              <w:rPr>
                <w:rFonts w:cs="Arial"/>
                <w:b/>
                <w:sz w:val="24"/>
                <w:szCs w:val="24"/>
              </w:rPr>
              <w:t xml:space="preserve">please </w:t>
            </w:r>
            <w:r w:rsidRPr="004D227B">
              <w:rPr>
                <w:rFonts w:cs="Arial"/>
                <w:b/>
                <w:sz w:val="24"/>
                <w:szCs w:val="24"/>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55EE9390">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 xml:space="preserve">We would like to hear your views on the draft recommendations presented in the guideline, and any comments you may have on the </w:t>
            </w:r>
            <w:proofErr w:type="gramStart"/>
            <w:r w:rsidRPr="006B094C">
              <w:rPr>
                <w:rFonts w:cs="Arial"/>
                <w:bCs/>
                <w:szCs w:val="22"/>
                <w:lang w:val="en"/>
              </w:rPr>
              <w:t>rationale</w:t>
            </w:r>
            <w:proofErr w:type="gramEnd"/>
            <w:r w:rsidRPr="006B094C">
              <w:rPr>
                <w:rFonts w:cs="Arial"/>
                <w:bCs/>
                <w:szCs w:val="22"/>
                <w:lang w:val="en"/>
              </w:rPr>
              <w:t xml:space="preserv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55EE9390">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4BA38108" w:rsidR="00661D47" w:rsidRPr="006B094C" w:rsidRDefault="00A04B1D" w:rsidP="001F7A2C">
            <w:pPr>
              <w:spacing w:before="240"/>
              <w:rPr>
                <w:rFonts w:cs="Arial"/>
                <w:szCs w:val="22"/>
              </w:rPr>
            </w:pPr>
            <w:r>
              <w:rPr>
                <w:rFonts w:cs="Arial"/>
                <w:szCs w:val="22"/>
              </w:rPr>
              <w:t>R</w:t>
            </w:r>
            <w:r w:rsidR="00D2379B">
              <w:rPr>
                <w:rFonts w:cs="Arial"/>
                <w:szCs w:val="22"/>
              </w:rPr>
              <w:t xml:space="preserve">oyal College of General Practitioners </w:t>
            </w:r>
          </w:p>
        </w:tc>
      </w:tr>
      <w:tr w:rsidR="00661D47" w:rsidRPr="006B094C" w14:paraId="0F6CA65E" w14:textId="77777777" w:rsidTr="55EE9390">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51933A97" w:rsidR="00661D47" w:rsidRPr="006B094C" w:rsidRDefault="0047563B" w:rsidP="55EE9390">
            <w:pPr>
              <w:spacing w:before="240"/>
              <w:rPr>
                <w:rFonts w:cs="Arial"/>
              </w:rPr>
            </w:pPr>
            <w:r w:rsidRPr="55EE9390">
              <w:rPr>
                <w:rFonts w:cs="Arial"/>
              </w:rPr>
              <w:t>N/A</w:t>
            </w:r>
          </w:p>
        </w:tc>
      </w:tr>
      <w:tr w:rsidR="00E63822" w:rsidRPr="006B094C" w14:paraId="483CEB7D" w14:textId="77777777" w:rsidTr="55EE9390">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lastRenderedPageBreak/>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62967D6C" w:rsidR="00E63822" w:rsidRPr="006B094C" w:rsidRDefault="009F3153" w:rsidP="001F7A2C">
            <w:pPr>
              <w:spacing w:before="240"/>
              <w:rPr>
                <w:rFonts w:cs="Arial"/>
                <w:szCs w:val="22"/>
              </w:rPr>
            </w:pPr>
            <w:r>
              <w:rPr>
                <w:rFonts w:cs="Arial"/>
                <w:szCs w:val="22"/>
              </w:rPr>
              <w:t>No</w:t>
            </w:r>
          </w:p>
        </w:tc>
      </w:tr>
      <w:tr w:rsidR="00661D47" w:rsidRPr="006B094C" w14:paraId="2A5AFE8A" w14:textId="77777777" w:rsidTr="55EE9390">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23A7E50E" w14:textId="2E42412D" w:rsidR="00396BDE" w:rsidRDefault="00940E20" w:rsidP="001F7A2C">
            <w:pPr>
              <w:rPr>
                <w:rFonts w:cs="Arial"/>
                <w:szCs w:val="22"/>
              </w:rPr>
            </w:pPr>
            <w:r>
              <w:rPr>
                <w:rFonts w:cs="Arial"/>
                <w:szCs w:val="22"/>
              </w:rPr>
              <w:t xml:space="preserve">Michael Mulholland </w:t>
            </w:r>
            <w:r w:rsidR="00D2379B">
              <w:rPr>
                <w:rFonts w:cs="Arial"/>
                <w:szCs w:val="22"/>
              </w:rPr>
              <w:t>and Adrian Hayter</w:t>
            </w: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F77EC5C">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F77EC5C">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F77EC5C">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F77EC5C">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F77EC5C">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F77EC5C">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F77EC5C">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F77EC5C">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F77EC5C">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F77EC5C">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3764F0D" w:rsidR="00661D47" w:rsidRPr="006B094C" w:rsidRDefault="0F77EC5C" w:rsidP="0F77EC5C">
            <w:pPr>
              <w:rPr>
                <w:rFonts w:cs="Arial"/>
              </w:rPr>
            </w:pPr>
            <w:r w:rsidRPr="0F77EC5C">
              <w:rPr>
                <w:rFonts w:cs="Arial"/>
              </w:rPr>
              <w:t>Guideline</w:t>
            </w:r>
          </w:p>
        </w:tc>
        <w:tc>
          <w:tcPr>
            <w:tcW w:w="349" w:type="pct"/>
          </w:tcPr>
          <w:p w14:paraId="491F0177" w14:textId="7990C32B" w:rsidR="00661D47" w:rsidRPr="006B094C" w:rsidRDefault="0F77EC5C" w:rsidP="0F77EC5C">
            <w:pPr>
              <w:rPr>
                <w:rFonts w:cs="Arial"/>
              </w:rPr>
            </w:pPr>
            <w:r w:rsidRPr="0F77EC5C">
              <w:rPr>
                <w:rFonts w:cs="Arial"/>
              </w:rPr>
              <w:t>6</w:t>
            </w:r>
          </w:p>
        </w:tc>
        <w:tc>
          <w:tcPr>
            <w:tcW w:w="383" w:type="pct"/>
          </w:tcPr>
          <w:p w14:paraId="45881450" w14:textId="29E4CEC6" w:rsidR="00661D47" w:rsidRPr="006B094C" w:rsidRDefault="0F77EC5C" w:rsidP="0F77EC5C">
            <w:pPr>
              <w:rPr>
                <w:rFonts w:cs="Arial"/>
              </w:rPr>
            </w:pPr>
            <w:r w:rsidRPr="0F77EC5C">
              <w:rPr>
                <w:rFonts w:cs="Arial"/>
              </w:rPr>
              <w:t>1.2.2</w:t>
            </w:r>
          </w:p>
        </w:tc>
        <w:tc>
          <w:tcPr>
            <w:tcW w:w="3360" w:type="pct"/>
          </w:tcPr>
          <w:p w14:paraId="108011FD" w14:textId="4A86B36C" w:rsidR="00661D47" w:rsidRPr="006B094C" w:rsidRDefault="0801D0AA" w:rsidP="55EE9390">
            <w:pPr>
              <w:rPr>
                <w:rFonts w:cs="Arial"/>
              </w:rPr>
            </w:pPr>
            <w:r w:rsidRPr="55EE9390">
              <w:rPr>
                <w:rFonts w:cs="Arial"/>
              </w:rPr>
              <w:t xml:space="preserve">We do not recommend including exact percentage figures in this case. These figures will not apply universally and are likely to vary significantly over time. They will also differ considerably depending on individual factors such as age </w:t>
            </w:r>
            <w:r w:rsidR="72D303CB" w:rsidRPr="55EE9390">
              <w:rPr>
                <w:rFonts w:cs="Arial"/>
              </w:rPr>
              <w:t>-</w:t>
            </w:r>
            <w:r w:rsidRPr="55EE9390">
              <w:rPr>
                <w:rFonts w:cs="Arial"/>
              </w:rPr>
              <w:t xml:space="preserve"> for example, outcomes for a woman aged 22 will differ greatly from those for a woman aged 39. Presenting fixed percentages risks oversimplifying complex, variable data and may become outdated quickly.</w:t>
            </w:r>
          </w:p>
        </w:tc>
      </w:tr>
      <w:tr w:rsidR="00D2379B" w:rsidRPr="006B094C" w14:paraId="4AF64982" w14:textId="77777777" w:rsidTr="0F77EC5C">
        <w:tc>
          <w:tcPr>
            <w:tcW w:w="463" w:type="pct"/>
          </w:tcPr>
          <w:p w14:paraId="30E3FE42" w14:textId="77777777" w:rsidR="00D2379B" w:rsidRPr="006B094C" w:rsidRDefault="00D2379B" w:rsidP="00D2379B">
            <w:pPr>
              <w:rPr>
                <w:rFonts w:cs="Arial"/>
                <w:szCs w:val="22"/>
              </w:rPr>
            </w:pPr>
            <w:r w:rsidRPr="006B094C">
              <w:rPr>
                <w:rFonts w:cs="Arial"/>
                <w:szCs w:val="22"/>
              </w:rPr>
              <w:lastRenderedPageBreak/>
              <w:t>2</w:t>
            </w:r>
          </w:p>
        </w:tc>
        <w:tc>
          <w:tcPr>
            <w:tcW w:w="445" w:type="pct"/>
          </w:tcPr>
          <w:p w14:paraId="359DF1FC" w14:textId="11D36E37" w:rsidR="00D2379B" w:rsidRPr="006B094C" w:rsidRDefault="00D2379B" w:rsidP="00D2379B">
            <w:pPr>
              <w:rPr>
                <w:rFonts w:cs="Arial"/>
                <w:szCs w:val="22"/>
              </w:rPr>
            </w:pPr>
            <w:r w:rsidRPr="008B2CDE">
              <w:rPr>
                <w:rFonts w:ascii="Lato" w:eastAsia="Lato" w:hAnsi="Lato" w:cs="Lato"/>
                <w:color w:val="000000" w:themeColor="text1"/>
              </w:rPr>
              <w:t>Guideline</w:t>
            </w:r>
          </w:p>
        </w:tc>
        <w:tc>
          <w:tcPr>
            <w:tcW w:w="349" w:type="pct"/>
          </w:tcPr>
          <w:p w14:paraId="07591962" w14:textId="3FDD8598" w:rsidR="00D2379B" w:rsidRPr="006B094C" w:rsidRDefault="00D2379B" w:rsidP="00D2379B">
            <w:pPr>
              <w:rPr>
                <w:rFonts w:cs="Arial"/>
                <w:szCs w:val="22"/>
              </w:rPr>
            </w:pPr>
            <w:r w:rsidRPr="004D52BF">
              <w:t>10</w:t>
            </w:r>
          </w:p>
        </w:tc>
        <w:tc>
          <w:tcPr>
            <w:tcW w:w="383" w:type="pct"/>
          </w:tcPr>
          <w:p w14:paraId="002F66FF" w14:textId="2A898C32" w:rsidR="00D2379B" w:rsidRPr="006B094C" w:rsidRDefault="00D2379B" w:rsidP="00D2379B">
            <w:pPr>
              <w:rPr>
                <w:rFonts w:cs="Arial"/>
                <w:szCs w:val="22"/>
              </w:rPr>
            </w:pPr>
            <w:r w:rsidRPr="004D52BF">
              <w:t>1.2.19</w:t>
            </w:r>
          </w:p>
        </w:tc>
        <w:tc>
          <w:tcPr>
            <w:tcW w:w="3360" w:type="pct"/>
          </w:tcPr>
          <w:p w14:paraId="358F066D" w14:textId="58135320" w:rsidR="00D2379B" w:rsidRPr="006B094C" w:rsidRDefault="00D2379B" w:rsidP="00D2379B">
            <w:pPr>
              <w:rPr>
                <w:rFonts w:cs="Arial"/>
                <w:szCs w:val="22"/>
              </w:rPr>
            </w:pPr>
            <w:r w:rsidRPr="004D52BF">
              <w:t>We suggest amending the guidance to clarify the source of occupational health advice. The current wording - “and if necessary, direct them to appropriate advice” - could be misinterpreted as implying an NHS or GP referral route.</w:t>
            </w:r>
          </w:p>
        </w:tc>
      </w:tr>
      <w:tr w:rsidR="00D2379B" w:rsidRPr="006B094C" w14:paraId="5E1FAD22" w14:textId="77777777" w:rsidTr="0F77EC5C">
        <w:tc>
          <w:tcPr>
            <w:tcW w:w="463" w:type="pct"/>
          </w:tcPr>
          <w:p w14:paraId="656ED425" w14:textId="77777777" w:rsidR="00D2379B" w:rsidRPr="006B094C" w:rsidRDefault="00D2379B" w:rsidP="00D2379B">
            <w:pPr>
              <w:rPr>
                <w:rFonts w:cs="Arial"/>
                <w:szCs w:val="22"/>
              </w:rPr>
            </w:pPr>
            <w:r w:rsidRPr="006B094C">
              <w:rPr>
                <w:rFonts w:cs="Arial"/>
                <w:szCs w:val="22"/>
              </w:rPr>
              <w:t>3</w:t>
            </w:r>
          </w:p>
        </w:tc>
        <w:tc>
          <w:tcPr>
            <w:tcW w:w="445" w:type="pct"/>
          </w:tcPr>
          <w:p w14:paraId="67CD7A10" w14:textId="6BC8913D" w:rsidR="00D2379B" w:rsidRPr="006B094C" w:rsidRDefault="00D2379B" w:rsidP="00D2379B">
            <w:pPr>
              <w:rPr>
                <w:rFonts w:cs="Arial"/>
                <w:szCs w:val="22"/>
              </w:rPr>
            </w:pPr>
            <w:r>
              <w:rPr>
                <w:rFonts w:cs="Arial"/>
                <w:szCs w:val="22"/>
              </w:rPr>
              <w:t>Guideline</w:t>
            </w:r>
          </w:p>
        </w:tc>
        <w:tc>
          <w:tcPr>
            <w:tcW w:w="349" w:type="pct"/>
          </w:tcPr>
          <w:p w14:paraId="50D0A3DC" w14:textId="0C020A1D" w:rsidR="00D2379B" w:rsidRPr="006B094C" w:rsidRDefault="00D2379B" w:rsidP="00D2379B">
            <w:pPr>
              <w:rPr>
                <w:rFonts w:cs="Arial"/>
                <w:szCs w:val="22"/>
              </w:rPr>
            </w:pPr>
            <w:r>
              <w:rPr>
                <w:rFonts w:cs="Arial"/>
                <w:szCs w:val="22"/>
              </w:rPr>
              <w:t>12</w:t>
            </w:r>
          </w:p>
        </w:tc>
        <w:tc>
          <w:tcPr>
            <w:tcW w:w="383" w:type="pct"/>
          </w:tcPr>
          <w:p w14:paraId="6F2B05E9" w14:textId="454AAAF0" w:rsidR="00D2379B" w:rsidRPr="006B094C" w:rsidRDefault="00D2379B" w:rsidP="00D2379B">
            <w:pPr>
              <w:rPr>
                <w:rFonts w:cs="Arial"/>
                <w:szCs w:val="22"/>
              </w:rPr>
            </w:pPr>
            <w:r>
              <w:rPr>
                <w:rFonts w:cs="Arial"/>
                <w:szCs w:val="22"/>
              </w:rPr>
              <w:t>1.2.29</w:t>
            </w:r>
          </w:p>
        </w:tc>
        <w:tc>
          <w:tcPr>
            <w:tcW w:w="3360" w:type="pct"/>
          </w:tcPr>
          <w:p w14:paraId="608EB76D" w14:textId="5C8CA010" w:rsidR="00D2379B" w:rsidRPr="006B094C" w:rsidRDefault="00D2379B" w:rsidP="00D2379B">
            <w:pPr>
              <w:rPr>
                <w:rFonts w:cs="Arial"/>
              </w:rPr>
            </w:pPr>
            <w:r w:rsidRPr="00EC32E4">
              <w:rPr>
                <w:rFonts w:cs="Arial"/>
                <w:szCs w:val="22"/>
              </w:rPr>
              <w:t>We were pleased to see the inclusion of clear guidance for GPs regarding the timing of referral following miscarriage. This clarity will support more consistent and timely management of patients experiencing fertility problems.</w:t>
            </w:r>
          </w:p>
        </w:tc>
      </w:tr>
      <w:tr w:rsidR="00D2379B" w:rsidRPr="006B094C" w14:paraId="67501DC0" w14:textId="77777777" w:rsidTr="0F77EC5C">
        <w:tc>
          <w:tcPr>
            <w:tcW w:w="463" w:type="pct"/>
          </w:tcPr>
          <w:p w14:paraId="0041D7B5" w14:textId="77777777" w:rsidR="00D2379B" w:rsidRPr="006B094C" w:rsidRDefault="00D2379B" w:rsidP="00D2379B">
            <w:pPr>
              <w:rPr>
                <w:rFonts w:cs="Arial"/>
                <w:szCs w:val="22"/>
              </w:rPr>
            </w:pPr>
            <w:r w:rsidRPr="006B094C">
              <w:rPr>
                <w:rFonts w:cs="Arial"/>
                <w:szCs w:val="22"/>
              </w:rPr>
              <w:t>4</w:t>
            </w:r>
          </w:p>
        </w:tc>
        <w:tc>
          <w:tcPr>
            <w:tcW w:w="445" w:type="pct"/>
          </w:tcPr>
          <w:p w14:paraId="78FCF2DF" w14:textId="5CBE2899" w:rsidR="00D2379B" w:rsidRPr="006B094C" w:rsidRDefault="00D2379B" w:rsidP="00D2379B">
            <w:pPr>
              <w:rPr>
                <w:rFonts w:cs="Arial"/>
                <w:szCs w:val="22"/>
              </w:rPr>
            </w:pPr>
            <w:r w:rsidRPr="00D557E7">
              <w:t>Guideline</w:t>
            </w:r>
          </w:p>
        </w:tc>
        <w:tc>
          <w:tcPr>
            <w:tcW w:w="349" w:type="pct"/>
          </w:tcPr>
          <w:p w14:paraId="1AFE5717" w14:textId="0628690D" w:rsidR="00D2379B" w:rsidRPr="006B094C" w:rsidRDefault="00D2379B" w:rsidP="00D2379B">
            <w:pPr>
              <w:rPr>
                <w:rFonts w:cs="Arial"/>
                <w:szCs w:val="22"/>
              </w:rPr>
            </w:pPr>
            <w:r w:rsidRPr="00D557E7">
              <w:t>12</w:t>
            </w:r>
          </w:p>
        </w:tc>
        <w:tc>
          <w:tcPr>
            <w:tcW w:w="383" w:type="pct"/>
          </w:tcPr>
          <w:p w14:paraId="2A5FDBCF" w14:textId="5752D324" w:rsidR="00D2379B" w:rsidRPr="006B094C" w:rsidRDefault="00D2379B" w:rsidP="00D2379B">
            <w:pPr>
              <w:rPr>
                <w:rFonts w:cs="Arial"/>
                <w:szCs w:val="22"/>
              </w:rPr>
            </w:pPr>
            <w:r w:rsidRPr="00D557E7">
              <w:t>1.2.30</w:t>
            </w:r>
          </w:p>
        </w:tc>
        <w:tc>
          <w:tcPr>
            <w:tcW w:w="3360" w:type="pct"/>
          </w:tcPr>
          <w:p w14:paraId="3A804E7E" w14:textId="1F7AE77E" w:rsidR="00D2379B" w:rsidRPr="006B094C" w:rsidRDefault="00D2379B" w:rsidP="00D2379B">
            <w:pPr>
              <w:rPr>
                <w:rFonts w:cs="Arial"/>
                <w:szCs w:val="22"/>
              </w:rPr>
            </w:pPr>
            <w:r w:rsidRPr="00D557E7">
              <w:t>We agree that earlier referral is appropriate for individuals aged 36 years or over, or where there is a known or suspected cause of infertility. However, the guidance would benefit from greater clarity around what is meant by “earlier” referral.</w:t>
            </w:r>
          </w:p>
        </w:tc>
      </w:tr>
      <w:tr w:rsidR="004302A7" w:rsidRPr="006B094C" w14:paraId="76A6E999" w14:textId="77777777" w:rsidTr="0F77EC5C">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60399C8" w:rsidR="00661D47" w:rsidRPr="006B094C" w:rsidRDefault="00F67460" w:rsidP="001F7A2C">
            <w:pPr>
              <w:rPr>
                <w:rFonts w:cs="Arial"/>
                <w:szCs w:val="22"/>
              </w:rPr>
            </w:pPr>
            <w:r>
              <w:rPr>
                <w:rFonts w:cs="Arial"/>
                <w:szCs w:val="22"/>
              </w:rPr>
              <w:t>Guideline</w:t>
            </w:r>
          </w:p>
        </w:tc>
        <w:tc>
          <w:tcPr>
            <w:tcW w:w="349" w:type="pct"/>
          </w:tcPr>
          <w:p w14:paraId="5F31FC83" w14:textId="4A8A1BEE" w:rsidR="00661D47" w:rsidRPr="006B094C" w:rsidRDefault="002825DC" w:rsidP="001F7A2C">
            <w:pPr>
              <w:rPr>
                <w:rFonts w:cs="Arial"/>
                <w:szCs w:val="22"/>
              </w:rPr>
            </w:pPr>
            <w:r>
              <w:rPr>
                <w:rFonts w:cs="Arial"/>
                <w:szCs w:val="22"/>
              </w:rPr>
              <w:t>20</w:t>
            </w:r>
          </w:p>
        </w:tc>
        <w:tc>
          <w:tcPr>
            <w:tcW w:w="383" w:type="pct"/>
          </w:tcPr>
          <w:p w14:paraId="1BB124A7" w14:textId="68D752E7" w:rsidR="00661D47" w:rsidRPr="006B094C" w:rsidRDefault="002825DC" w:rsidP="001F7A2C">
            <w:pPr>
              <w:rPr>
                <w:rFonts w:cs="Arial"/>
                <w:szCs w:val="22"/>
              </w:rPr>
            </w:pPr>
            <w:r>
              <w:rPr>
                <w:rFonts w:cs="Arial"/>
                <w:szCs w:val="22"/>
              </w:rPr>
              <w:t>1.3.39</w:t>
            </w:r>
          </w:p>
        </w:tc>
        <w:tc>
          <w:tcPr>
            <w:tcW w:w="3360" w:type="pct"/>
          </w:tcPr>
          <w:p w14:paraId="75D7E631" w14:textId="3614E150" w:rsidR="00661D47" w:rsidRPr="006B094C" w:rsidRDefault="002825DC" w:rsidP="002825DC">
            <w:pPr>
              <w:rPr>
                <w:rFonts w:cs="Arial"/>
                <w:szCs w:val="22"/>
              </w:rPr>
            </w:pPr>
            <w:r w:rsidRPr="002825DC">
              <w:rPr>
                <w:rFonts w:cs="Arial"/>
                <w:szCs w:val="22"/>
              </w:rPr>
              <w:t>We agree that assessment of rubella immunity is an important component of fertility care. In our experience, fertility clinics routinely require rubella serology before accepting referrals, which is appropriate given that many individuals are uncertain of their vaccination history and some may not have developed immunity despite vaccination.</w:t>
            </w:r>
            <w:r>
              <w:rPr>
                <w:rFonts w:cs="Arial"/>
                <w:szCs w:val="22"/>
              </w:rPr>
              <w:t xml:space="preserve"> </w:t>
            </w:r>
            <w:r w:rsidRPr="002825DC">
              <w:rPr>
                <w:rFonts w:cs="Arial"/>
                <w:szCs w:val="22"/>
              </w:rPr>
              <w:t>Ensuring universal screening would minimise the risk of congenital rubella, which remains an entirely preventable cause of harm.</w:t>
            </w:r>
          </w:p>
        </w:tc>
      </w:tr>
      <w:tr w:rsidR="00062BAB" w:rsidRPr="006B094C" w14:paraId="0DBCC03D" w14:textId="77777777" w:rsidTr="0F77EC5C">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032F8F10" w:rsidR="00062BAB" w:rsidRPr="006B094C" w:rsidRDefault="00F67460" w:rsidP="001F7A2C">
            <w:pPr>
              <w:rPr>
                <w:rFonts w:cs="Arial"/>
                <w:szCs w:val="22"/>
              </w:rPr>
            </w:pPr>
            <w:r>
              <w:rPr>
                <w:rFonts w:cs="Arial"/>
                <w:szCs w:val="22"/>
              </w:rPr>
              <w:t>Guideline</w:t>
            </w:r>
          </w:p>
        </w:tc>
        <w:tc>
          <w:tcPr>
            <w:tcW w:w="349" w:type="pct"/>
          </w:tcPr>
          <w:p w14:paraId="368BD531" w14:textId="53F89916" w:rsidR="00062BAB" w:rsidRPr="006B094C" w:rsidRDefault="002825DC" w:rsidP="001F7A2C">
            <w:pPr>
              <w:rPr>
                <w:rFonts w:cs="Arial"/>
                <w:szCs w:val="22"/>
              </w:rPr>
            </w:pPr>
            <w:r>
              <w:rPr>
                <w:rFonts w:cs="Arial"/>
                <w:szCs w:val="22"/>
              </w:rPr>
              <w:t>31</w:t>
            </w:r>
          </w:p>
        </w:tc>
        <w:tc>
          <w:tcPr>
            <w:tcW w:w="383" w:type="pct"/>
          </w:tcPr>
          <w:p w14:paraId="2D7E7831" w14:textId="69CA8C57" w:rsidR="00062BAB" w:rsidRPr="006B094C" w:rsidRDefault="002825DC" w:rsidP="001F7A2C">
            <w:pPr>
              <w:rPr>
                <w:rFonts w:cs="Arial"/>
                <w:szCs w:val="22"/>
              </w:rPr>
            </w:pPr>
            <w:r>
              <w:rPr>
                <w:rFonts w:cs="Arial"/>
                <w:szCs w:val="22"/>
              </w:rPr>
              <w:t>1.9.3/4</w:t>
            </w:r>
          </w:p>
        </w:tc>
        <w:tc>
          <w:tcPr>
            <w:tcW w:w="3360" w:type="pct"/>
          </w:tcPr>
          <w:p w14:paraId="38828FBD" w14:textId="77777777" w:rsidR="002825DC" w:rsidRPr="002825DC" w:rsidRDefault="002825DC" w:rsidP="002825DC">
            <w:pPr>
              <w:rPr>
                <w:rFonts w:cs="Arial"/>
                <w:szCs w:val="22"/>
              </w:rPr>
            </w:pPr>
            <w:r w:rsidRPr="002825DC">
              <w:rPr>
                <w:rFonts w:cs="Arial"/>
                <w:szCs w:val="22"/>
              </w:rPr>
              <w:t>We note an inconsistency in the proposed guidance regarding age criteria for IVF access. As written, a first cycle may be offered to individuals up to age 42, but those who begin treatment before 40 are not eligible for further cycles once they reach their 40th birthday.</w:t>
            </w:r>
          </w:p>
          <w:p w14:paraId="03D10A00" w14:textId="77777777" w:rsidR="002825DC" w:rsidRPr="002825DC" w:rsidRDefault="002825DC" w:rsidP="002825DC">
            <w:pPr>
              <w:rPr>
                <w:rFonts w:cs="Arial"/>
                <w:szCs w:val="22"/>
              </w:rPr>
            </w:pPr>
          </w:p>
          <w:p w14:paraId="67D5BCE6" w14:textId="0579484B" w:rsidR="00062BAB" w:rsidRPr="006B094C" w:rsidRDefault="002825DC" w:rsidP="002825DC">
            <w:pPr>
              <w:rPr>
                <w:rFonts w:cs="Arial"/>
                <w:szCs w:val="22"/>
              </w:rPr>
            </w:pPr>
            <w:r w:rsidRPr="002825DC">
              <w:rPr>
                <w:rFonts w:cs="Arial"/>
                <w:szCs w:val="22"/>
              </w:rPr>
              <w:t>This appears inequitable and may disadvantage individuals whose treatment spans their 40th birthday. We suggest that the guidance be reviewed to ensure consistency and fairness in access to IVF funding and treatment across the full eligible age range.</w:t>
            </w:r>
          </w:p>
        </w:tc>
      </w:tr>
      <w:tr w:rsidR="00D2379B" w:rsidRPr="006B094C" w14:paraId="154A7EEF" w14:textId="77777777" w:rsidTr="0F77EC5C">
        <w:tc>
          <w:tcPr>
            <w:tcW w:w="463" w:type="pct"/>
          </w:tcPr>
          <w:p w14:paraId="1D27A13B" w14:textId="77777777" w:rsidR="00D2379B" w:rsidRPr="006B094C" w:rsidRDefault="00D2379B" w:rsidP="00D2379B">
            <w:pPr>
              <w:rPr>
                <w:rFonts w:cs="Arial"/>
                <w:szCs w:val="22"/>
              </w:rPr>
            </w:pPr>
            <w:r>
              <w:rPr>
                <w:rFonts w:cs="Arial"/>
                <w:szCs w:val="22"/>
              </w:rPr>
              <w:t>7</w:t>
            </w:r>
          </w:p>
        </w:tc>
        <w:tc>
          <w:tcPr>
            <w:tcW w:w="445" w:type="pct"/>
          </w:tcPr>
          <w:p w14:paraId="14610956" w14:textId="48AB5AA5" w:rsidR="00D2379B" w:rsidRPr="006B094C" w:rsidRDefault="00D2379B" w:rsidP="00D2379B">
            <w:pPr>
              <w:rPr>
                <w:rFonts w:cs="Arial"/>
                <w:szCs w:val="22"/>
              </w:rPr>
            </w:pPr>
            <w:r w:rsidRPr="00C5355C">
              <w:t>General</w:t>
            </w:r>
          </w:p>
        </w:tc>
        <w:tc>
          <w:tcPr>
            <w:tcW w:w="349" w:type="pct"/>
          </w:tcPr>
          <w:p w14:paraId="69AFE4DB" w14:textId="4126E573" w:rsidR="00D2379B" w:rsidRPr="006B094C" w:rsidRDefault="00D2379B" w:rsidP="00D2379B">
            <w:pPr>
              <w:rPr>
                <w:rFonts w:cs="Arial"/>
                <w:szCs w:val="22"/>
              </w:rPr>
            </w:pPr>
          </w:p>
        </w:tc>
        <w:tc>
          <w:tcPr>
            <w:tcW w:w="383" w:type="pct"/>
          </w:tcPr>
          <w:p w14:paraId="1BEBA3BE" w14:textId="762D4116" w:rsidR="00D2379B" w:rsidRPr="006B094C" w:rsidRDefault="00D2379B" w:rsidP="00D2379B">
            <w:pPr>
              <w:rPr>
                <w:rFonts w:cs="Arial"/>
                <w:szCs w:val="22"/>
              </w:rPr>
            </w:pPr>
          </w:p>
        </w:tc>
        <w:tc>
          <w:tcPr>
            <w:tcW w:w="3360" w:type="pct"/>
          </w:tcPr>
          <w:p w14:paraId="39F55F01" w14:textId="70C147E0" w:rsidR="00D2379B" w:rsidRPr="006B094C" w:rsidRDefault="00D2379B" w:rsidP="00D2379B">
            <w:pPr>
              <w:rPr>
                <w:rFonts w:cs="Arial"/>
                <w:szCs w:val="22"/>
              </w:rPr>
            </w:pPr>
            <w:r w:rsidRPr="00C5355C">
              <w:t>We note an absence of guidance for fertility services on managing fertility in trans men and trans women who are taking gender-affirming hormone therapy. We would like to see clear, evidence-based guidance addressing fertility preservation, assessment, and treatment options for transgender patients - or, if robust evidence is lacking, an explicit recommendation that research be commissioned to fill this gap.</w:t>
            </w: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784A" w14:textId="77777777" w:rsidR="00D01F4D" w:rsidRDefault="00D01F4D">
      <w:r>
        <w:separator/>
      </w:r>
    </w:p>
  </w:endnote>
  <w:endnote w:type="continuationSeparator" w:id="0">
    <w:p w14:paraId="61839692" w14:textId="77777777" w:rsidR="00D01F4D" w:rsidRDefault="00D01F4D">
      <w:r>
        <w:continuationSeparator/>
      </w:r>
    </w:p>
  </w:endnote>
  <w:endnote w:type="continuationNotice" w:id="1">
    <w:p w14:paraId="421FF740" w14:textId="77777777" w:rsidR="00D01F4D" w:rsidRDefault="00D01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EFEE812" w14:textId="77777777" w:rsidR="004E745E" w:rsidRDefault="00EE6C88" w:rsidP="004E745E">
    <w:pPr>
      <w:pStyle w:val="Heading3"/>
      <w:jc w:val="left"/>
    </w:pPr>
    <w:r>
      <w:rPr>
        <w:szCs w:val="22"/>
      </w:rPr>
      <w:t>Please return to:</w:t>
    </w:r>
    <w:r w:rsidR="00D062E4">
      <w:t xml:space="preserve"> </w:t>
    </w:r>
    <w:hyperlink r:id="rId1" w:history="1">
      <w:r w:rsidR="004E745E" w:rsidRPr="004D227B">
        <w:rPr>
          <w:rStyle w:val="Hyperlink"/>
        </w:rPr>
        <w:t>FertilityProblems@nice.org.uk</w:t>
      </w:r>
    </w:hyperlink>
  </w:p>
  <w:p w14:paraId="73A96C6A" w14:textId="1419EB89" w:rsidR="00EE6C88" w:rsidRDefault="00804809" w:rsidP="00EE6C88">
    <w:pPr>
      <w:rPr>
        <w:b/>
      </w:rPr>
    </w:pPr>
    <w: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7DB9" w14:textId="77777777" w:rsidR="00D01F4D" w:rsidRDefault="00D01F4D">
      <w:r>
        <w:separator/>
      </w:r>
    </w:p>
  </w:footnote>
  <w:footnote w:type="continuationSeparator" w:id="0">
    <w:p w14:paraId="58F2B411" w14:textId="77777777" w:rsidR="00D01F4D" w:rsidRDefault="00D01F4D">
      <w:r>
        <w:continuationSeparator/>
      </w:r>
    </w:p>
  </w:footnote>
  <w:footnote w:type="continuationNotice" w:id="1">
    <w:p w14:paraId="0A23054C" w14:textId="77777777" w:rsidR="00D01F4D" w:rsidRDefault="00D01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768AD8CD" w:rsidR="007968D4" w:rsidRPr="008039AA" w:rsidRDefault="00A512DA" w:rsidP="00A53DDC">
    <w:pPr>
      <w:pStyle w:val="Heading3"/>
      <w:jc w:val="left"/>
      <w:rPr>
        <w:sz w:val="28"/>
        <w:szCs w:val="28"/>
      </w:rPr>
    </w:pPr>
    <w:r>
      <w:t>Fertility problems</w:t>
    </w:r>
    <w:r w:rsidR="52555263">
      <w:t xml:space="preserve">: </w:t>
    </w:r>
    <w:r w:rsidR="009C73C8">
      <w:t>assessment and treatment – update 1 and update 2</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2D69E8A7" w14:textId="77777777" w:rsidR="004D227B" w:rsidRDefault="007968D4" w:rsidP="004D227B">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Tuesday </w:t>
    </w:r>
    <w:r w:rsidR="009C73C8">
      <w:t>21 October</w:t>
    </w:r>
    <w:r w:rsidR="00F8158A">
      <w:t xml:space="preserve"> </w:t>
    </w:r>
    <w:r w:rsidR="00432033">
      <w:t>2025</w:t>
    </w:r>
    <w:r w:rsidR="000328D5">
      <w:tab/>
    </w:r>
    <w:r w:rsidR="000328D5">
      <w:tab/>
    </w:r>
  </w:p>
  <w:p w14:paraId="2774FC2D" w14:textId="5558094E" w:rsidR="007968D4" w:rsidRDefault="007334BB" w:rsidP="004D227B">
    <w:pPr>
      <w:pStyle w:val="Heading3"/>
      <w:jc w:val="left"/>
    </w:pPr>
    <w:r w:rsidRPr="00F506DC">
      <w:rPr>
        <w:bCs w:val="0"/>
      </w:rPr>
      <w:t>email:</w:t>
    </w:r>
    <w:r w:rsidR="00804809">
      <w:rPr>
        <w:b w:val="0"/>
        <w:bCs w:val="0"/>
      </w:rPr>
      <w:t xml:space="preserve"> </w:t>
    </w:r>
    <w:hyperlink r:id="rId2" w:history="1">
      <w:r w:rsidR="004D227B" w:rsidRPr="004D227B">
        <w:rPr>
          <w:rStyle w:val="Hyperlink"/>
        </w:rPr>
        <w:t>FertilityProblems@nice.org.uk</w:t>
      </w:r>
    </w:hyperlink>
  </w:p>
  <w:p w14:paraId="45AFCD97" w14:textId="77777777" w:rsidR="004D227B" w:rsidRPr="004D227B" w:rsidRDefault="004D227B" w:rsidP="004D22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0F2F"/>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6154"/>
    <w:rsid w:val="002475F1"/>
    <w:rsid w:val="00257BDB"/>
    <w:rsid w:val="00261963"/>
    <w:rsid w:val="00272A9E"/>
    <w:rsid w:val="002825DC"/>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4F78"/>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7563B"/>
    <w:rsid w:val="00487456"/>
    <w:rsid w:val="004959D4"/>
    <w:rsid w:val="004A0099"/>
    <w:rsid w:val="004A1670"/>
    <w:rsid w:val="004A1C8F"/>
    <w:rsid w:val="004B0799"/>
    <w:rsid w:val="004C70EE"/>
    <w:rsid w:val="004C7583"/>
    <w:rsid w:val="004D0289"/>
    <w:rsid w:val="004D227B"/>
    <w:rsid w:val="004E107E"/>
    <w:rsid w:val="004E2B52"/>
    <w:rsid w:val="004E513A"/>
    <w:rsid w:val="004E6889"/>
    <w:rsid w:val="004E745E"/>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1295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1F59"/>
    <w:rsid w:val="00753C2B"/>
    <w:rsid w:val="00763790"/>
    <w:rsid w:val="00767DA2"/>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1716"/>
    <w:rsid w:val="008A2552"/>
    <w:rsid w:val="008A35D9"/>
    <w:rsid w:val="008A3E36"/>
    <w:rsid w:val="008A4C19"/>
    <w:rsid w:val="008C584A"/>
    <w:rsid w:val="008C773A"/>
    <w:rsid w:val="008D749A"/>
    <w:rsid w:val="008E5CCD"/>
    <w:rsid w:val="008F724D"/>
    <w:rsid w:val="00900B13"/>
    <w:rsid w:val="00905D09"/>
    <w:rsid w:val="009071D4"/>
    <w:rsid w:val="00907944"/>
    <w:rsid w:val="009204F8"/>
    <w:rsid w:val="009228A1"/>
    <w:rsid w:val="009244E9"/>
    <w:rsid w:val="009274F1"/>
    <w:rsid w:val="00927F69"/>
    <w:rsid w:val="00940E20"/>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C73C8"/>
    <w:rsid w:val="009D0DDF"/>
    <w:rsid w:val="009D7079"/>
    <w:rsid w:val="009E26F6"/>
    <w:rsid w:val="009E7AF2"/>
    <w:rsid w:val="009F3153"/>
    <w:rsid w:val="00A04B1D"/>
    <w:rsid w:val="00A053D0"/>
    <w:rsid w:val="00A10B99"/>
    <w:rsid w:val="00A201B2"/>
    <w:rsid w:val="00A23948"/>
    <w:rsid w:val="00A32731"/>
    <w:rsid w:val="00A4033C"/>
    <w:rsid w:val="00A46B9E"/>
    <w:rsid w:val="00A47EB7"/>
    <w:rsid w:val="00A512DA"/>
    <w:rsid w:val="00A53DD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5C99"/>
    <w:rsid w:val="00C060A1"/>
    <w:rsid w:val="00C15A0A"/>
    <w:rsid w:val="00C2390E"/>
    <w:rsid w:val="00C27EC1"/>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1F1"/>
    <w:rsid w:val="00CD238D"/>
    <w:rsid w:val="00CE1E29"/>
    <w:rsid w:val="00CE7CB6"/>
    <w:rsid w:val="00CF302B"/>
    <w:rsid w:val="00D01F4D"/>
    <w:rsid w:val="00D032FB"/>
    <w:rsid w:val="00D06290"/>
    <w:rsid w:val="00D062E4"/>
    <w:rsid w:val="00D117FA"/>
    <w:rsid w:val="00D209B9"/>
    <w:rsid w:val="00D2379B"/>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C32E4"/>
    <w:rsid w:val="00EC6CA2"/>
    <w:rsid w:val="00ED3261"/>
    <w:rsid w:val="00EE5C12"/>
    <w:rsid w:val="00EE6C88"/>
    <w:rsid w:val="00EF2ACA"/>
    <w:rsid w:val="00EF337F"/>
    <w:rsid w:val="00F054D6"/>
    <w:rsid w:val="00F06BC1"/>
    <w:rsid w:val="00F3010A"/>
    <w:rsid w:val="00F3163F"/>
    <w:rsid w:val="00F37587"/>
    <w:rsid w:val="00F44858"/>
    <w:rsid w:val="00F506DC"/>
    <w:rsid w:val="00F51243"/>
    <w:rsid w:val="00F61766"/>
    <w:rsid w:val="00F61A63"/>
    <w:rsid w:val="00F656B1"/>
    <w:rsid w:val="00F67460"/>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0801D0AA"/>
    <w:rsid w:val="0F77EC5C"/>
    <w:rsid w:val="2DD9362F"/>
    <w:rsid w:val="30EB7FFA"/>
    <w:rsid w:val="32A748C9"/>
    <w:rsid w:val="474E1A5F"/>
    <w:rsid w:val="52555263"/>
    <w:rsid w:val="55EE9390"/>
    <w:rsid w:val="630887FD"/>
    <w:rsid w:val="6BF9CE49"/>
    <w:rsid w:val="71A793E6"/>
    <w:rsid w:val="72D30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ertilityProblem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ertilityProblem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93caca01320adb377c2c458b6952095b">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99608b009c54e69b7ed5073e346cd49c"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16d0e-8f0d-40d2-a32d-b99a7f0db4fe}"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94F9-9AFC-4A2C-884C-140D489D9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3d8b9d85-7192-425b-ac2c-2b556fe5fe9f"/>
    <ds:schemaRef ds:uri="a20c1dae-a585-4ea0-8004-924b43e983b9"/>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6426</Characters>
  <Application>Microsoft Office Word</Application>
  <DocSecurity>0</DocSecurity>
  <Lines>204</Lines>
  <Paragraphs>115</Paragraphs>
  <ScaleCrop>false</ScaleCrop>
  <Company>NICE</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Priya Dodhia</cp:lastModifiedBy>
  <cp:revision>3</cp:revision>
  <cp:lastPrinted>2005-11-02T01:30:00Z</cp:lastPrinted>
  <dcterms:created xsi:type="dcterms:W3CDTF">2025-11-05T11:11:00Z</dcterms:created>
  <dcterms:modified xsi:type="dcterms:W3CDTF">2025-11-05T11:11:00Z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0x010100A3F5FEE1ACB51A4CB259A23F8D1FC76E</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