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6B" w:rsidRPr="00B34E39" w:rsidRDefault="00E0186B" w:rsidP="00E0186B">
      <w:pPr>
        <w:pStyle w:val="Normal1"/>
        <w:spacing w:line="256" w:lineRule="auto"/>
        <w:rPr>
          <w:rFonts w:ascii="Segoe UI" w:hAnsi="Segoe UI" w:cs="Segoe UI"/>
          <w:sz w:val="24"/>
          <w:szCs w:val="24"/>
        </w:rPr>
      </w:pPr>
    </w:p>
    <w:p w:rsidR="00E0186B" w:rsidRPr="00596211" w:rsidRDefault="00E0186B" w:rsidP="00E0186B">
      <w:pPr>
        <w:pStyle w:val="Normal1"/>
        <w:jc w:val="center"/>
        <w:rPr>
          <w:rFonts w:asciiTheme="majorHAnsi" w:hAnsiTheme="majorHAnsi"/>
          <w:b/>
          <w:color w:val="3E78B8"/>
          <w:sz w:val="24"/>
          <w:szCs w:val="24"/>
        </w:rPr>
      </w:pPr>
      <w:r w:rsidRPr="00596211">
        <w:rPr>
          <w:rFonts w:asciiTheme="majorHAnsi" w:hAnsiTheme="majorHAnsi"/>
          <w:b/>
          <w:color w:val="3E78B8"/>
          <w:sz w:val="24"/>
          <w:szCs w:val="24"/>
        </w:rPr>
        <w:t xml:space="preserve">Mini Clinical Examination Exercise (Mini-CEX) when not in primary care </w:t>
      </w:r>
    </w:p>
    <w:p w:rsidR="00E0186B" w:rsidRPr="00596211" w:rsidRDefault="00E0186B" w:rsidP="00E0186B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</w:p>
    <w:p w:rsidR="00E0186B" w:rsidRPr="00596211" w:rsidRDefault="00E0186B" w:rsidP="00E0186B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</w:p>
    <w:p w:rsidR="00E0186B" w:rsidRPr="00596211" w:rsidRDefault="00E0186B" w:rsidP="00E0186B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  <w:r w:rsidRPr="00596211">
        <w:rPr>
          <w:rFonts w:asciiTheme="majorHAnsi" w:hAnsiTheme="majorHAnsi" w:cs="Segoe UI"/>
          <w:sz w:val="24"/>
          <w:szCs w:val="24"/>
        </w:rPr>
        <w:t>Capability linkage</w:t>
      </w:r>
    </w:p>
    <w:p w:rsidR="00E0186B" w:rsidRPr="00596211" w:rsidRDefault="00E0186B" w:rsidP="00E0186B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</w:p>
    <w:p w:rsidR="00E0186B" w:rsidRPr="00596211" w:rsidRDefault="00E0186B" w:rsidP="00E0186B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</w:p>
    <w:p w:rsidR="00E0186B" w:rsidRPr="00596211" w:rsidRDefault="00E0186B" w:rsidP="00E0186B">
      <w:pPr>
        <w:pStyle w:val="Normal1"/>
        <w:rPr>
          <w:rFonts w:asciiTheme="majorHAnsi" w:hAnsiTheme="majorHAnsi" w:cs="Segoe UI"/>
          <w:b/>
          <w:sz w:val="24"/>
          <w:szCs w:val="24"/>
        </w:rPr>
      </w:pPr>
      <w:r w:rsidRPr="00596211">
        <w:rPr>
          <w:rFonts w:asciiTheme="majorHAnsi" w:hAnsiTheme="majorHAnsi" w:cs="Segoe UI"/>
          <w:b/>
          <w:sz w:val="24"/>
          <w:szCs w:val="24"/>
        </w:rPr>
        <w:t>1. Consultation and communication skills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i/>
          <w:sz w:val="24"/>
          <w:szCs w:val="24"/>
        </w:rPr>
      </w:pPr>
      <w:r w:rsidRPr="00596211">
        <w:rPr>
          <w:rFonts w:asciiTheme="majorHAnsi" w:hAnsiTheme="majorHAnsi" w:cs="Segoe UI"/>
          <w:i/>
          <w:sz w:val="24"/>
          <w:szCs w:val="24"/>
        </w:rPr>
        <w:t xml:space="preserve">Capability: Communication and consultation skills, practising holistically 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i/>
          <w:sz w:val="24"/>
          <w:szCs w:val="24"/>
        </w:rPr>
      </w:pPr>
    </w:p>
    <w:p w:rsidR="00E0186B" w:rsidRPr="00596211" w:rsidRDefault="00E0186B" w:rsidP="00E0186B">
      <w:pPr>
        <w:pStyle w:val="Normal1"/>
        <w:rPr>
          <w:rFonts w:asciiTheme="majorHAnsi" w:hAnsiTheme="majorHAnsi" w:cs="Segoe UI"/>
          <w:b/>
          <w:sz w:val="24"/>
          <w:szCs w:val="24"/>
        </w:rPr>
      </w:pPr>
      <w:r w:rsidRPr="00596211">
        <w:rPr>
          <w:rFonts w:asciiTheme="majorHAnsi" w:hAnsiTheme="majorHAnsi" w:cs="Segoe UI"/>
          <w:b/>
          <w:sz w:val="24"/>
          <w:szCs w:val="24"/>
        </w:rPr>
        <w:t>2. Clinical assessment &amp; judgement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i/>
          <w:sz w:val="24"/>
          <w:szCs w:val="24"/>
        </w:rPr>
      </w:pPr>
      <w:r w:rsidRPr="00596211">
        <w:rPr>
          <w:rFonts w:asciiTheme="majorHAnsi" w:hAnsiTheme="majorHAnsi" w:cs="Segoe UI"/>
          <w:i/>
          <w:sz w:val="24"/>
          <w:szCs w:val="24"/>
        </w:rPr>
        <w:t>Capabilities: Data Gathering and interpretation, CEPS, Making a diagnosis / decisions,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sz w:val="24"/>
          <w:szCs w:val="24"/>
        </w:rPr>
      </w:pPr>
    </w:p>
    <w:p w:rsidR="00E0186B" w:rsidRPr="00596211" w:rsidRDefault="00E0186B" w:rsidP="00E0186B">
      <w:pPr>
        <w:pStyle w:val="Normal1"/>
        <w:rPr>
          <w:rFonts w:asciiTheme="majorHAnsi" w:hAnsiTheme="majorHAnsi" w:cs="Segoe UI"/>
          <w:b/>
          <w:sz w:val="24"/>
          <w:szCs w:val="24"/>
        </w:rPr>
      </w:pPr>
      <w:r w:rsidRPr="00596211">
        <w:rPr>
          <w:rFonts w:asciiTheme="majorHAnsi" w:hAnsiTheme="majorHAnsi" w:cs="Segoe UI"/>
          <w:b/>
          <w:sz w:val="24"/>
          <w:szCs w:val="24"/>
        </w:rPr>
        <w:t>3. Clinical management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sz w:val="24"/>
          <w:szCs w:val="24"/>
        </w:rPr>
      </w:pPr>
      <w:r w:rsidRPr="00596211">
        <w:rPr>
          <w:rFonts w:asciiTheme="majorHAnsi" w:hAnsiTheme="majorHAnsi" w:cs="Segoe UI"/>
          <w:i/>
          <w:sz w:val="24"/>
          <w:szCs w:val="24"/>
        </w:rPr>
        <w:t xml:space="preserve">Capability: Clinical management, 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sz w:val="24"/>
          <w:szCs w:val="24"/>
        </w:rPr>
      </w:pPr>
    </w:p>
    <w:p w:rsidR="00E0186B" w:rsidRPr="00596211" w:rsidRDefault="00E0186B" w:rsidP="00E0186B">
      <w:pPr>
        <w:pStyle w:val="Normal1"/>
        <w:rPr>
          <w:rFonts w:asciiTheme="majorHAnsi" w:hAnsiTheme="majorHAnsi" w:cs="Segoe UI"/>
          <w:b/>
          <w:sz w:val="24"/>
          <w:szCs w:val="24"/>
        </w:rPr>
      </w:pPr>
      <w:r w:rsidRPr="00596211">
        <w:rPr>
          <w:rFonts w:asciiTheme="majorHAnsi" w:hAnsiTheme="majorHAnsi" w:cs="Segoe UI"/>
          <w:b/>
          <w:sz w:val="24"/>
          <w:szCs w:val="24"/>
        </w:rPr>
        <w:t>4. Organisation/Efficiency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i/>
          <w:sz w:val="24"/>
          <w:szCs w:val="24"/>
        </w:rPr>
      </w:pPr>
      <w:r w:rsidRPr="00596211">
        <w:rPr>
          <w:rFonts w:asciiTheme="majorHAnsi" w:hAnsiTheme="majorHAnsi" w:cs="Segoe UI"/>
          <w:i/>
          <w:sz w:val="24"/>
          <w:szCs w:val="24"/>
        </w:rPr>
        <w:t>Capabilities: Working with colleagues and in teams, Organisation, Management and Leadership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i/>
          <w:sz w:val="24"/>
          <w:szCs w:val="24"/>
        </w:rPr>
      </w:pPr>
    </w:p>
    <w:p w:rsidR="00E0186B" w:rsidRPr="00596211" w:rsidRDefault="00E0186B" w:rsidP="00E0186B">
      <w:pPr>
        <w:pStyle w:val="Normal1"/>
        <w:rPr>
          <w:rFonts w:asciiTheme="majorHAnsi" w:hAnsiTheme="majorHAnsi" w:cs="Segoe UI"/>
          <w:b/>
          <w:sz w:val="24"/>
          <w:szCs w:val="24"/>
        </w:rPr>
      </w:pPr>
      <w:r w:rsidRPr="00596211">
        <w:rPr>
          <w:rFonts w:asciiTheme="majorHAnsi" w:hAnsiTheme="majorHAnsi" w:cs="Segoe UI"/>
          <w:b/>
          <w:sz w:val="24"/>
          <w:szCs w:val="24"/>
        </w:rPr>
        <w:t xml:space="preserve">5. Professionalism </w:t>
      </w:r>
    </w:p>
    <w:p w:rsidR="00E0186B" w:rsidRPr="00596211" w:rsidRDefault="00E0186B" w:rsidP="00E0186B">
      <w:pPr>
        <w:pStyle w:val="Normal1"/>
        <w:rPr>
          <w:rFonts w:asciiTheme="majorHAnsi" w:hAnsiTheme="majorHAnsi" w:cs="Segoe UI"/>
          <w:i/>
          <w:sz w:val="24"/>
          <w:szCs w:val="24"/>
        </w:rPr>
      </w:pPr>
      <w:r w:rsidRPr="00596211">
        <w:rPr>
          <w:rFonts w:asciiTheme="majorHAnsi" w:hAnsiTheme="majorHAnsi" w:cs="Segoe UI"/>
          <w:i/>
          <w:sz w:val="24"/>
          <w:szCs w:val="24"/>
        </w:rPr>
        <w:t>Capabilities:  Ethics, Fitness to practice</w:t>
      </w:r>
    </w:p>
    <w:p w:rsidR="00E0186B" w:rsidRPr="00596211" w:rsidRDefault="00E0186B" w:rsidP="00E0186B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  <w:r w:rsidRPr="00596211">
        <w:rPr>
          <w:rFonts w:asciiTheme="majorHAnsi" w:hAnsiTheme="majorHAnsi" w:cs="Segoe UI"/>
          <w:sz w:val="24"/>
          <w:szCs w:val="24"/>
        </w:rPr>
        <w:t xml:space="preserve"> </w:t>
      </w:r>
      <w:bookmarkStart w:id="0" w:name="_GoBack"/>
      <w:bookmarkEnd w:id="0"/>
    </w:p>
    <w:p w:rsidR="00E0186B" w:rsidRPr="00596211" w:rsidRDefault="00E0186B" w:rsidP="00E0186B">
      <w:pPr>
        <w:pStyle w:val="Normal1"/>
        <w:rPr>
          <w:rFonts w:asciiTheme="majorHAnsi" w:hAnsiTheme="majorHAnsi" w:cs="Segoe UI"/>
          <w:sz w:val="24"/>
          <w:szCs w:val="24"/>
        </w:rPr>
      </w:pPr>
      <w:r w:rsidRPr="00596211">
        <w:rPr>
          <w:rFonts w:asciiTheme="majorHAnsi" w:hAnsiTheme="majorHAnsi" w:cs="Segoe UI"/>
          <w:sz w:val="24"/>
          <w:szCs w:val="24"/>
        </w:rPr>
        <w:t>Capabilities not included:</w:t>
      </w:r>
    </w:p>
    <w:p w:rsidR="00E0186B" w:rsidRPr="00596211" w:rsidRDefault="00E0186B" w:rsidP="00E0186B">
      <w:pPr>
        <w:pStyle w:val="Normal1"/>
        <w:numPr>
          <w:ilvl w:val="0"/>
          <w:numId w:val="1"/>
        </w:numPr>
        <w:rPr>
          <w:rFonts w:asciiTheme="majorHAnsi" w:hAnsiTheme="majorHAnsi" w:cs="Segoe UI"/>
          <w:sz w:val="24"/>
          <w:szCs w:val="24"/>
        </w:rPr>
      </w:pPr>
      <w:r w:rsidRPr="00596211">
        <w:rPr>
          <w:rFonts w:asciiTheme="majorHAnsi" w:hAnsiTheme="majorHAnsi" w:cs="Segoe UI"/>
          <w:sz w:val="24"/>
          <w:szCs w:val="24"/>
        </w:rPr>
        <w:t>Community orientation</w:t>
      </w:r>
    </w:p>
    <w:p w:rsidR="00E0186B" w:rsidRPr="00596211" w:rsidRDefault="00E0186B" w:rsidP="00E0186B">
      <w:pPr>
        <w:pStyle w:val="Normal1"/>
        <w:numPr>
          <w:ilvl w:val="0"/>
          <w:numId w:val="1"/>
        </w:numPr>
        <w:rPr>
          <w:rFonts w:asciiTheme="majorHAnsi" w:hAnsiTheme="majorHAnsi" w:cs="Segoe UI"/>
          <w:sz w:val="24"/>
          <w:szCs w:val="24"/>
        </w:rPr>
      </w:pPr>
      <w:r w:rsidRPr="00596211">
        <w:rPr>
          <w:rFonts w:asciiTheme="majorHAnsi" w:hAnsiTheme="majorHAnsi" w:cs="Segoe UI"/>
          <w:sz w:val="24"/>
          <w:szCs w:val="24"/>
        </w:rPr>
        <w:t xml:space="preserve">Maintaining performance, learning and teaching </w:t>
      </w:r>
    </w:p>
    <w:p w:rsidR="00E0186B" w:rsidRPr="00596211" w:rsidRDefault="00E0186B" w:rsidP="00E0186B">
      <w:pPr>
        <w:pStyle w:val="Normal1"/>
        <w:numPr>
          <w:ilvl w:val="0"/>
          <w:numId w:val="1"/>
        </w:numPr>
        <w:spacing w:line="256" w:lineRule="auto"/>
        <w:rPr>
          <w:rFonts w:asciiTheme="majorHAnsi" w:hAnsiTheme="majorHAnsi" w:cs="Segoe UI"/>
          <w:sz w:val="24"/>
          <w:szCs w:val="24"/>
        </w:rPr>
      </w:pPr>
      <w:r w:rsidRPr="00596211">
        <w:rPr>
          <w:rFonts w:asciiTheme="majorHAnsi" w:hAnsiTheme="majorHAnsi" w:cs="Segoe UI"/>
          <w:sz w:val="24"/>
          <w:szCs w:val="24"/>
        </w:rPr>
        <w:t xml:space="preserve">Managing medical complexity </w:t>
      </w:r>
    </w:p>
    <w:p w:rsidR="00F90C36" w:rsidRPr="00596211" w:rsidRDefault="00F90C36">
      <w:pPr>
        <w:rPr>
          <w:rFonts w:asciiTheme="majorHAnsi" w:hAnsiTheme="majorHAnsi"/>
          <w:sz w:val="24"/>
          <w:szCs w:val="24"/>
        </w:rPr>
      </w:pPr>
    </w:p>
    <w:sectPr w:rsidR="00F90C36" w:rsidRPr="00596211" w:rsidSect="00626283">
      <w:headerReference w:type="first" r:id="rId8"/>
      <w:pgSz w:w="12240" w:h="15840"/>
      <w:pgMar w:top="1077" w:right="1085" w:bottom="107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211">
      <w:pPr>
        <w:spacing w:line="240" w:lineRule="auto"/>
      </w:pPr>
      <w:r>
        <w:separator/>
      </w:r>
    </w:p>
  </w:endnote>
  <w:endnote w:type="continuationSeparator" w:id="0">
    <w:p w:rsidR="00000000" w:rsidRDefault="00596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6211">
      <w:pPr>
        <w:spacing w:line="240" w:lineRule="auto"/>
      </w:pPr>
      <w:r>
        <w:separator/>
      </w:r>
    </w:p>
  </w:footnote>
  <w:footnote w:type="continuationSeparator" w:id="0">
    <w:p w:rsidR="00000000" w:rsidRDefault="00596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32" w:rsidRDefault="00E0186B">
    <w:pPr>
      <w:pStyle w:val="Header"/>
    </w:pPr>
    <w:r>
      <w:rPr>
        <w:rFonts w:ascii="Helvetica" w:hAnsi="Helvetica" w:cs="Helvetica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57AF3F5" wp14:editId="78EDD31F">
          <wp:simplePos x="0" y="0"/>
          <wp:positionH relativeFrom="column">
            <wp:posOffset>4914900</wp:posOffset>
          </wp:positionH>
          <wp:positionV relativeFrom="paragraph">
            <wp:posOffset>-230505</wp:posOffset>
          </wp:positionV>
          <wp:extent cx="1762760" cy="558800"/>
          <wp:effectExtent l="0" t="0" r="0" b="0"/>
          <wp:wrapThrough wrapText="bothSides">
            <wp:wrapPolygon edited="0">
              <wp:start x="0" y="0"/>
              <wp:lineTo x="0" y="20618"/>
              <wp:lineTo x="21164" y="20618"/>
              <wp:lineTo x="2116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90F"/>
    <w:multiLevelType w:val="multilevel"/>
    <w:tmpl w:val="D9EE0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6B"/>
    <w:rsid w:val="00596211"/>
    <w:rsid w:val="00A06AE4"/>
    <w:rsid w:val="00E0186B"/>
    <w:rsid w:val="00F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16"/>
        <w:szCs w:val="16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6B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186B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86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6B"/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16"/>
        <w:szCs w:val="16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6B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186B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86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6B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Macintosh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 Sales</dc:creator>
  <cp:keywords/>
  <dc:description/>
  <cp:lastModifiedBy>David Bodgener</cp:lastModifiedBy>
  <cp:revision>2</cp:revision>
  <dcterms:created xsi:type="dcterms:W3CDTF">2019-09-22T17:11:00Z</dcterms:created>
  <dcterms:modified xsi:type="dcterms:W3CDTF">2019-09-22T17:11:00Z</dcterms:modified>
</cp:coreProperties>
</file>