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B482" w14:textId="61606477" w:rsidR="00A62EA4" w:rsidRPr="00A62EA4" w:rsidRDefault="00A62EA4" w:rsidP="00A62EA4">
      <w:pPr>
        <w:pStyle w:val="Heading1"/>
        <w:jc w:val="center"/>
        <w:rPr>
          <w:rFonts w:ascii="Calibri" w:hAnsi="Calibri" w:cs="Calibri"/>
          <w:color w:val="000000" w:themeColor="text1"/>
          <w:sz w:val="20"/>
          <w:szCs w:val="20"/>
        </w:rPr>
      </w:pPr>
      <w:r w:rsidRPr="00A62EA4">
        <w:rPr>
          <w:rFonts w:ascii="Calibri" w:hAnsi="Calibri" w:cs="Calibri"/>
          <w:color w:val="000000" w:themeColor="text1"/>
          <w:sz w:val="20"/>
          <w:szCs w:val="20"/>
        </w:rPr>
        <w:t>Daffodil Standard 1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- </w:t>
      </w:r>
      <w:r w:rsidRPr="00A62EA4">
        <w:rPr>
          <w:rFonts w:ascii="Calibri" w:hAnsi="Calibri" w:cs="Calibri"/>
          <w:color w:val="000000" w:themeColor="text1"/>
          <w:sz w:val="20"/>
          <w:szCs w:val="20"/>
        </w:rPr>
        <w:t>Example SWOT Analysis</w:t>
      </w:r>
    </w:p>
    <w:p w14:paraId="0CB4EF16" w14:textId="03487AF0" w:rsidR="00A62EA4" w:rsidRDefault="00A62EA4" w:rsidP="00A62EA4">
      <w:pPr>
        <w:pStyle w:val="Heading1"/>
        <w:rPr>
          <w:rFonts w:ascii="Calibri" w:hAnsi="Calibri" w:cs="Calibri"/>
          <w:color w:val="000000" w:themeColor="text1"/>
          <w:sz w:val="20"/>
          <w:szCs w:val="20"/>
        </w:rPr>
      </w:pPr>
      <w:r w:rsidRPr="00A62EA4">
        <w:rPr>
          <w:rFonts w:ascii="Calibri" w:hAnsi="Calibri" w:cs="Calibri"/>
          <w:color w:val="000000" w:themeColor="text1"/>
          <w:sz w:val="20"/>
          <w:szCs w:val="20"/>
        </w:rPr>
        <w:t>Check most up to date version</w:t>
      </w:r>
      <w:hyperlink r:id="rId8" w:history="1">
        <w:r w:rsidRPr="00A62EA4">
          <w:rPr>
            <w:rStyle w:val="Hyperlink"/>
            <w:rFonts w:ascii="Calibri" w:hAnsi="Calibri" w:cs="Calibri"/>
            <w:sz w:val="20"/>
            <w:szCs w:val="20"/>
          </w:rPr>
          <w:t xml:space="preserve"> here</w:t>
        </w:r>
      </w:hyperlink>
      <w:r w:rsidRPr="00A62EA4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0020C01F" w14:textId="0240D841" w:rsidR="00A233BE" w:rsidRPr="00DC01D3" w:rsidRDefault="00000000">
      <w:pPr>
        <w:pStyle w:val="Heading1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Daffodil Standard 1: Professional and Competent Staff</w:t>
      </w:r>
    </w:p>
    <w:p w14:paraId="03770D34" w14:textId="77777777" w:rsidR="00A233BE" w:rsidRPr="00DC01D3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Creating the infrastructure for supportive end-of-life care within general practice</w:t>
      </w:r>
    </w:p>
    <w:p w14:paraId="09423041" w14:textId="77777777" w:rsidR="00A233BE" w:rsidRPr="00DC01D3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Purpose</w:t>
      </w:r>
    </w:p>
    <w:p w14:paraId="4B41DD7A" w14:textId="17861E2A" w:rsidR="00A233BE" w:rsidRPr="00DC01D3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To help your practice identify strengths, gaps, and opportunities in building a confident, skilled, and compassionate workforce that delivers high-quality end-of-life care</w:t>
      </w:r>
      <w:r w:rsidR="00DC01D3"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 and bereavement support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38DA7D44" w14:textId="77777777" w:rsidR="00A233BE" w:rsidRPr="00DC01D3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Quick Instructions for Use</w:t>
      </w:r>
    </w:p>
    <w:p w14:paraId="3104624F" w14:textId="2039DD5A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Convene your multidisciplinary team (GPs, nurses, admin, reception, practice manager, etc.).</w:t>
      </w:r>
    </w:p>
    <w:p w14:paraId="103C4AEB" w14:textId="41D8016E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For each quadrant, rate your current position (e.g. 1–5) and note examples or evidence.</w:t>
      </w:r>
    </w:p>
    <w:p w14:paraId="7412C128" w14:textId="7E608397" w:rsidR="00A233BE" w:rsidRPr="00DC01D3" w:rsidRDefault="00DC01D3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Identify top priorities from Weaknesses or Threats to turn into SMART improvement actions.</w:t>
      </w:r>
    </w:p>
    <w:p w14:paraId="0E8906AF" w14:textId="30856E8E" w:rsidR="00A233BE" w:rsidRPr="00DC01D3" w:rsidRDefault="00DC01D3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Assign owners, timelines, and </w:t>
      </w:r>
      <w:proofErr w:type="gramStart"/>
      <w:r w:rsidRPr="00DC01D3">
        <w:rPr>
          <w:rFonts w:ascii="Calibri" w:hAnsi="Calibri" w:cs="Calibri"/>
          <w:color w:val="000000" w:themeColor="text1"/>
          <w:sz w:val="20"/>
          <w:szCs w:val="20"/>
        </w:rPr>
        <w:t>metrics;</w:t>
      </w:r>
      <w:proofErr w:type="gramEnd"/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 review regularly in QI meetings.</w:t>
      </w:r>
    </w:p>
    <w:p w14:paraId="39D2114F" w14:textId="44D54CE8" w:rsidR="00A233BE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SWOT Analysis</w:t>
      </w:r>
      <w:r w:rsidR="00DC01D3">
        <w:rPr>
          <w:rFonts w:ascii="Calibri" w:hAnsi="Calibri" w:cs="Calibri"/>
          <w:color w:val="000000" w:themeColor="text1"/>
          <w:sz w:val="20"/>
          <w:szCs w:val="20"/>
        </w:rPr>
        <w:t xml:space="preserve"> example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>: Standard 1 – Professional and Competent Staff</w:t>
      </w:r>
    </w:p>
    <w:p w14:paraId="58DE9B47" w14:textId="77777777" w:rsidR="00DC01D3" w:rsidRPr="00DC01D3" w:rsidRDefault="00DC01D3" w:rsidP="00DC01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C01D3" w:rsidRPr="00DC01D3" w14:paraId="5760307E" w14:textId="77777777">
        <w:tc>
          <w:tcPr>
            <w:tcW w:w="4320" w:type="dxa"/>
          </w:tcPr>
          <w:p w14:paraId="4AEEE435" w14:textId="77777777" w:rsidR="00A233BE" w:rsidRPr="00DC01D3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Strengths</w:t>
            </w:r>
          </w:p>
        </w:tc>
        <w:tc>
          <w:tcPr>
            <w:tcW w:w="4320" w:type="dxa"/>
          </w:tcPr>
          <w:p w14:paraId="49B59D4B" w14:textId="77777777" w:rsidR="00A233BE" w:rsidRPr="00DC01D3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Weaknesses</w:t>
            </w:r>
          </w:p>
        </w:tc>
      </w:tr>
      <w:tr w:rsidR="00DC01D3" w:rsidRPr="00DC01D3" w14:paraId="7089A86F" w14:textId="77777777">
        <w:tc>
          <w:tcPr>
            <w:tcW w:w="4320" w:type="dxa"/>
          </w:tcPr>
          <w:p w14:paraId="3C3DDB83" w14:textId="77777777" w:rsidR="00DC01D3" w:rsidRDefault="00000000" w:rsidP="00DC01D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Existing staff with end-of-life care experience or training.</w:t>
            </w:r>
          </w:p>
          <w:p w14:paraId="42035873" w14:textId="77777777" w:rsidR="00DC01D3" w:rsidRDefault="00000000" w:rsidP="00DC01D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Culture of team communication and regular MDT meetings.</w:t>
            </w:r>
          </w:p>
          <w:p w14:paraId="298DF8E5" w14:textId="77777777" w:rsidR="00DC01D3" w:rsidRDefault="00000000" w:rsidP="00DC01D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Established induction processes that could embed EOLC competencies.</w:t>
            </w:r>
          </w:p>
          <w:p w14:paraId="20314158" w14:textId="39EEF967" w:rsidR="00A233BE" w:rsidRPr="00DC01D3" w:rsidRDefault="00000000" w:rsidP="00DC01D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Use of reflective learning (e.g. death </w:t>
            </w:r>
            <w:r w:rsid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audit / MDT </w:t>
            </w: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reviews) informing staff development.</w:t>
            </w:r>
          </w:p>
        </w:tc>
        <w:tc>
          <w:tcPr>
            <w:tcW w:w="4320" w:type="dxa"/>
          </w:tcPr>
          <w:p w14:paraId="2FEE8963" w14:textId="77777777" w:rsidR="00DC01D3" w:rsidRDefault="00000000" w:rsidP="00DC01D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Inconsistent understanding of EOLC roles across staff groups.</w:t>
            </w:r>
          </w:p>
          <w:p w14:paraId="1B1968E7" w14:textId="77777777" w:rsidR="00DC01D3" w:rsidRDefault="00000000" w:rsidP="00DC01D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No </w:t>
            </w:r>
            <w:proofErr w:type="spellStart"/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formalised</w:t>
            </w:r>
            <w:proofErr w:type="spellEnd"/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training plan for end-of-life competencies.</w:t>
            </w:r>
          </w:p>
          <w:p w14:paraId="05274BB2" w14:textId="77777777" w:rsidR="00DC01D3" w:rsidRDefault="00000000" w:rsidP="00DC01D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Lack of clear escalation/support pathways for</w:t>
            </w:r>
            <w:r w:rsid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complex cases.</w:t>
            </w:r>
          </w:p>
          <w:p w14:paraId="1CA49234" w14:textId="31FE559E" w:rsidR="00A233BE" w:rsidRPr="00DC01D3" w:rsidRDefault="00000000" w:rsidP="00DC01D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Limited shared documentation or clarity on role ownership.</w:t>
            </w:r>
          </w:p>
        </w:tc>
      </w:tr>
      <w:tr w:rsidR="00DC01D3" w:rsidRPr="00DC01D3" w14:paraId="4C766C4B" w14:textId="77777777">
        <w:tc>
          <w:tcPr>
            <w:tcW w:w="4320" w:type="dxa"/>
          </w:tcPr>
          <w:p w14:paraId="6C0F9877" w14:textId="77777777" w:rsidR="00A233BE" w:rsidRPr="00DC01D3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Opportunities</w:t>
            </w:r>
          </w:p>
        </w:tc>
        <w:tc>
          <w:tcPr>
            <w:tcW w:w="4320" w:type="dxa"/>
          </w:tcPr>
          <w:p w14:paraId="2D590DE2" w14:textId="77777777" w:rsidR="00A233BE" w:rsidRPr="00DC01D3" w:rsidRDefault="00000000">
            <w:pP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Threats</w:t>
            </w:r>
          </w:p>
        </w:tc>
      </w:tr>
      <w:tr w:rsidR="00DC01D3" w:rsidRPr="00DC01D3" w14:paraId="72E14BCF" w14:textId="77777777">
        <w:tc>
          <w:tcPr>
            <w:tcW w:w="4320" w:type="dxa"/>
          </w:tcPr>
          <w:p w14:paraId="1D755ECC" w14:textId="77777777" w:rsidR="00DC01D3" w:rsidRDefault="00000000" w:rsidP="00DC01D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Access free Daffodil Standards resources, webinars, and communities of practice.</w:t>
            </w:r>
          </w:p>
          <w:p w14:paraId="3AC5AA0E" w14:textId="77777777" w:rsidR="00DC01D3" w:rsidRDefault="00000000" w:rsidP="00DC01D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Use the Daffodil Mark as visible quality recognition.</w:t>
            </w:r>
          </w:p>
          <w:p w14:paraId="0785F6EF" w14:textId="77777777" w:rsidR="00DC01D3" w:rsidRDefault="00000000" w:rsidP="00DC01D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Peer learning from practices already implementing the Standards.</w:t>
            </w:r>
          </w:p>
          <w:p w14:paraId="7625673D" w14:textId="0E44FC0B" w:rsidR="00A233BE" w:rsidRPr="00DC01D3" w:rsidRDefault="00000000" w:rsidP="00DC01D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Strengthen links with palliative/community teams to support development.</w:t>
            </w:r>
          </w:p>
        </w:tc>
        <w:tc>
          <w:tcPr>
            <w:tcW w:w="4320" w:type="dxa"/>
          </w:tcPr>
          <w:p w14:paraId="0BA20697" w14:textId="77777777" w:rsidR="00DC01D3" w:rsidRDefault="00000000" w:rsidP="00DC01D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High workload and staffing pressures reducing training time.</w:t>
            </w:r>
          </w:p>
          <w:p w14:paraId="07173326" w14:textId="77777777" w:rsidR="00DC01D3" w:rsidRDefault="00000000" w:rsidP="00DC01D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Staff turnover leading to loss of knowledge.</w:t>
            </w:r>
          </w:p>
          <w:p w14:paraId="5DDAB0DC" w14:textId="77777777" w:rsidR="00DC01D3" w:rsidRDefault="00000000" w:rsidP="00DC01D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Competing QI priorities diluting focus.</w:t>
            </w:r>
          </w:p>
          <w:p w14:paraId="13F681E1" w14:textId="4864CB5E" w:rsidR="00A233BE" w:rsidRPr="00DC01D3" w:rsidRDefault="00000000" w:rsidP="00DC01D3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DC01D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Variable external partner engagement and support.</w:t>
            </w:r>
          </w:p>
        </w:tc>
      </w:tr>
    </w:tbl>
    <w:p w14:paraId="48263172" w14:textId="77777777" w:rsidR="00A233BE" w:rsidRPr="00DC01D3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Self-Assessment Prompts</w:t>
      </w:r>
    </w:p>
    <w:p w14:paraId="7C43B5CE" w14:textId="5EC04FB1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Do all staff understand their role in EOLC?</w:t>
      </w:r>
    </w:p>
    <w:p w14:paraId="4CA2A668" w14:textId="21361AA6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Is there an up-to-date training matrix for EOLC competencies?</w:t>
      </w:r>
    </w:p>
    <w:p w14:paraId="16D6C651" w14:textId="78AB402B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Are there identified EOLC leads or champions?</w:t>
      </w:r>
    </w:p>
    <w:p w14:paraId="4882BF6E" w14:textId="3D70632A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How often is EOLC reviewed (e.g. case reflection, mortality reviews)?</w:t>
      </w:r>
    </w:p>
    <w:p w14:paraId="5AF6CD07" w14:textId="592E7B67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Are escalation pathways and responsibilities documented?</w:t>
      </w:r>
    </w:p>
    <w:p w14:paraId="49247F3A" w14:textId="45131008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What feedback exists from patients/families on staff confidence?</w:t>
      </w:r>
    </w:p>
    <w:p w14:paraId="1831AD50" w14:textId="77777777" w:rsidR="00A233BE" w:rsidRPr="00DC01D3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lastRenderedPageBreak/>
        <w:t>Sample Metrics</w:t>
      </w:r>
    </w:p>
    <w:p w14:paraId="44D2965A" w14:textId="32E4D0F8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% of staff completing EOLC </w:t>
      </w:r>
      <w:r w:rsidR="00DC01D3">
        <w:rPr>
          <w:rFonts w:ascii="Calibri" w:hAnsi="Calibri" w:cs="Calibri"/>
          <w:color w:val="000000" w:themeColor="text1"/>
          <w:sz w:val="20"/>
          <w:szCs w:val="20"/>
        </w:rPr>
        <w:t xml:space="preserve">and/ or bereavement support 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>training in past 12 months.</w:t>
      </w:r>
    </w:p>
    <w:p w14:paraId="5DDECEB0" w14:textId="135AE49F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Identified EOLC lead with documented responsibilities.</w:t>
      </w:r>
    </w:p>
    <w:p w14:paraId="47AC2787" w14:textId="4AABD520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Number of multidisciplinary reflective death reviews per quarter.</w:t>
      </w:r>
    </w:p>
    <w:p w14:paraId="32754DF8" w14:textId="7A33323D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Staff self-rated confidence (pre/post-training).</w:t>
      </w:r>
    </w:p>
    <w:p w14:paraId="593CFA75" w14:textId="48BF4A57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Evidence of EOLC discussions in meeting minutes.</w:t>
      </w:r>
    </w:p>
    <w:p w14:paraId="136152C4" w14:textId="77777777" w:rsidR="00A233BE" w:rsidRPr="00DC01D3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Example SMART Goals</w:t>
      </w:r>
    </w:p>
    <w:p w14:paraId="17B0F123" w14:textId="09A6EBDA" w:rsidR="00A233BE" w:rsidRPr="00DC01D3" w:rsidRDefault="00DC01D3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S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pecific: By </w:t>
      </w:r>
      <w:r>
        <w:rPr>
          <w:rFonts w:ascii="Calibri" w:hAnsi="Calibri" w:cs="Calibri"/>
          <w:color w:val="000000" w:themeColor="text1"/>
          <w:sz w:val="20"/>
          <w:szCs w:val="20"/>
        </w:rPr>
        <w:t>X date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, all clinical staff </w:t>
      </w:r>
      <w:r>
        <w:rPr>
          <w:rFonts w:ascii="Calibri" w:hAnsi="Calibri" w:cs="Calibri"/>
          <w:color w:val="000000" w:themeColor="text1"/>
          <w:sz w:val="20"/>
          <w:szCs w:val="20"/>
        </w:rPr>
        <w:t>review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 the Daffodil Standards introductory EOLC </w:t>
      </w:r>
      <w:r>
        <w:rPr>
          <w:rFonts w:ascii="Calibri" w:hAnsi="Calibri" w:cs="Calibri"/>
          <w:color w:val="000000" w:themeColor="text1"/>
          <w:sz w:val="20"/>
          <w:szCs w:val="20"/>
        </w:rPr>
        <w:t>training video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and/or ‘how to start the Daffodil Standards’ guide 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>and reflect in team meeting minutes.</w:t>
      </w:r>
    </w:p>
    <w:p w14:paraId="7A1F8D93" w14:textId="545C618A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Measurable: Increase staff confidence in EOLC coordination from 60% to 85% by Dec 2025 (survey).</w:t>
      </w:r>
    </w:p>
    <w:p w14:paraId="278733A5" w14:textId="41893F5E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Achievable: Appoint and </w:t>
      </w:r>
      <w:proofErr w:type="spellStart"/>
      <w:r w:rsidRPr="00DC01D3">
        <w:rPr>
          <w:rFonts w:ascii="Calibri" w:hAnsi="Calibri" w:cs="Calibri"/>
          <w:color w:val="000000" w:themeColor="text1"/>
          <w:sz w:val="20"/>
          <w:szCs w:val="20"/>
        </w:rPr>
        <w:t>publicise</w:t>
      </w:r>
      <w:proofErr w:type="spellEnd"/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 an EOLC lead by 15 Aug 2025 with bi-monthly reviews.</w:t>
      </w:r>
    </w:p>
    <w:p w14:paraId="08D5025C" w14:textId="579EC060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Relevant: Embed an </w:t>
      </w:r>
      <w:r w:rsidR="00DC01D3">
        <w:rPr>
          <w:rFonts w:ascii="Calibri" w:hAnsi="Calibri" w:cs="Calibri"/>
          <w:color w:val="000000" w:themeColor="text1"/>
          <w:sz w:val="20"/>
          <w:szCs w:val="20"/>
        </w:rPr>
        <w:t>EOLC &amp; Bereavement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 agenda item in monthly governance meetings.</w:t>
      </w:r>
    </w:p>
    <w:p w14:paraId="6EC8267C" w14:textId="22BFEDEF" w:rsidR="00A233BE" w:rsidRPr="00DC01D3" w:rsidRDefault="00DC01D3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T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imebound: Complete </w:t>
      </w:r>
      <w:r>
        <w:rPr>
          <w:rFonts w:ascii="Calibri" w:hAnsi="Calibri" w:cs="Calibri"/>
          <w:color w:val="000000" w:themeColor="text1"/>
          <w:sz w:val="20"/>
          <w:szCs w:val="20"/>
        </w:rPr>
        <w:t>5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 reflective death reviews by Q4 2025.</w:t>
      </w:r>
    </w:p>
    <w:p w14:paraId="0F79638D" w14:textId="77777777" w:rsidR="00A233BE" w:rsidRPr="00DC01D3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Immediate Next Steps</w:t>
      </w:r>
    </w:p>
    <w:p w14:paraId="3EECDF7B" w14:textId="5FEA3EA6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Register with the </w:t>
      </w:r>
      <w:r w:rsidR="00DC01D3">
        <w:rPr>
          <w:rFonts w:ascii="Calibri" w:hAnsi="Calibri" w:cs="Calibri"/>
          <w:color w:val="000000" w:themeColor="text1"/>
          <w:sz w:val="20"/>
          <w:szCs w:val="20"/>
        </w:rPr>
        <w:t xml:space="preserve">RCGP 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>Daffodil Standards (if not already).</w:t>
      </w:r>
    </w:p>
    <w:p w14:paraId="2046418F" w14:textId="7D0796D0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Map current staff skills and identify training gaps.</w:t>
      </w:r>
    </w:p>
    <w:p w14:paraId="424DD68D" w14:textId="33AFDF64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Nominate an EOLC lead and define responsibilities.</w:t>
      </w:r>
    </w:p>
    <w:p w14:paraId="3F2CC3A0" w14:textId="60A21B57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Schedule first reflective review session.</w:t>
      </w:r>
    </w:p>
    <w:p w14:paraId="3359BA40" w14:textId="7E030A5C" w:rsidR="00A233BE" w:rsidRPr="00DC01D3" w:rsidRDefault="00000000">
      <w:pPr>
        <w:pStyle w:val="ListBullet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Capture baseline staff confidence via short survey.</w:t>
      </w:r>
    </w:p>
    <w:p w14:paraId="144AFD06" w14:textId="77777777" w:rsidR="00A233BE" w:rsidRPr="00DC01D3" w:rsidRDefault="00000000">
      <w:pPr>
        <w:pStyle w:val="Heading2"/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Risks &amp; Mitigations</w:t>
      </w:r>
    </w:p>
    <w:p w14:paraId="1BD98581" w14:textId="7CE9EFAF" w:rsidR="00A233BE" w:rsidRPr="00DC01D3" w:rsidRDefault="00000000" w:rsidP="00DC01D3">
      <w:pPr>
        <w:pStyle w:val="ListParagraph"/>
        <w:numPr>
          <w:ilvl w:val="0"/>
          <w:numId w:val="12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Training time </w:t>
      </w:r>
      <w:r w:rsidR="00DC01D3" w:rsidRPr="00DC01D3">
        <w:rPr>
          <w:rFonts w:ascii="Calibri" w:hAnsi="Calibri" w:cs="Calibri"/>
          <w:color w:val="000000" w:themeColor="text1"/>
          <w:sz w:val="20"/>
          <w:szCs w:val="20"/>
        </w:rPr>
        <w:t>protection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>: Schedule sessions in advance and link to QI/appraisal credits.</w:t>
      </w:r>
    </w:p>
    <w:p w14:paraId="02E373CB" w14:textId="00B33364" w:rsidR="00A233BE" w:rsidRPr="00DC01D3" w:rsidRDefault="00000000" w:rsidP="00DC01D3">
      <w:pPr>
        <w:pStyle w:val="ListParagraph"/>
        <w:numPr>
          <w:ilvl w:val="0"/>
          <w:numId w:val="12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>New staff miss EOLC orientation: Add EOLC induction checklist.</w:t>
      </w:r>
    </w:p>
    <w:p w14:paraId="6ADDE29F" w14:textId="112AC59F" w:rsidR="00A233BE" w:rsidRPr="00DC01D3" w:rsidRDefault="00000000" w:rsidP="00DC01D3">
      <w:pPr>
        <w:pStyle w:val="ListParagraph"/>
        <w:numPr>
          <w:ilvl w:val="0"/>
          <w:numId w:val="12"/>
        </w:numPr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Momentum fades: Embed progress updates into </w:t>
      </w:r>
      <w:r w:rsidR="00DC01D3" w:rsidRPr="00DC01D3">
        <w:rPr>
          <w:rFonts w:ascii="Calibri" w:hAnsi="Calibri" w:cs="Calibri"/>
          <w:color w:val="000000" w:themeColor="text1"/>
          <w:sz w:val="20"/>
          <w:szCs w:val="20"/>
        </w:rPr>
        <w:t>practice staff/ MDT</w:t>
      </w:r>
      <w:r w:rsidRPr="00DC01D3">
        <w:rPr>
          <w:rFonts w:ascii="Calibri" w:hAnsi="Calibri" w:cs="Calibri"/>
          <w:color w:val="000000" w:themeColor="text1"/>
          <w:sz w:val="20"/>
          <w:szCs w:val="20"/>
        </w:rPr>
        <w:t xml:space="preserve"> meetings and celebrate small wins.</w:t>
      </w:r>
    </w:p>
    <w:p w14:paraId="5D4BF096" w14:textId="0052630F" w:rsidR="00A233BE" w:rsidRPr="00DC01D3" w:rsidRDefault="00000000">
      <w:pPr>
        <w:rPr>
          <w:rFonts w:ascii="Calibri" w:hAnsi="Calibri" w:cs="Calibri"/>
          <w:color w:val="000000" w:themeColor="text1"/>
          <w:sz w:val="20"/>
          <w:szCs w:val="20"/>
        </w:rPr>
      </w:pPr>
      <w:r w:rsidRPr="00DC01D3">
        <w:rPr>
          <w:rFonts w:ascii="Calibri" w:hAnsi="Calibri" w:cs="Calibri"/>
          <w:color w:val="000000" w:themeColor="text1"/>
          <w:sz w:val="20"/>
          <w:szCs w:val="20"/>
        </w:rPr>
        <w:br/>
        <w:t>More information: www.rcgp.org.uk/daffodilstandards</w:t>
      </w:r>
    </w:p>
    <w:sectPr w:rsidR="00A233BE" w:rsidRPr="00DC01D3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BBCB" w14:textId="77777777" w:rsidR="008D5885" w:rsidRDefault="008D5885" w:rsidP="00DC01D3">
      <w:pPr>
        <w:spacing w:after="0" w:line="240" w:lineRule="auto"/>
      </w:pPr>
      <w:r>
        <w:separator/>
      </w:r>
    </w:p>
  </w:endnote>
  <w:endnote w:type="continuationSeparator" w:id="0">
    <w:p w14:paraId="59022E18" w14:textId="77777777" w:rsidR="008D5885" w:rsidRDefault="008D5885" w:rsidP="00D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28B8" w14:textId="7BAB273F" w:rsidR="00A62EA4" w:rsidRDefault="00A62EA4">
    <w:pPr>
      <w:pStyle w:val="Footer"/>
    </w:pPr>
    <w:r>
      <w:t>Version 1 Oct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29FA8" w14:textId="77777777" w:rsidR="008D5885" w:rsidRDefault="008D5885" w:rsidP="00DC01D3">
      <w:pPr>
        <w:spacing w:after="0" w:line="240" w:lineRule="auto"/>
      </w:pPr>
      <w:r>
        <w:separator/>
      </w:r>
    </w:p>
  </w:footnote>
  <w:footnote w:type="continuationSeparator" w:id="0">
    <w:p w14:paraId="4238503A" w14:textId="77777777" w:rsidR="008D5885" w:rsidRDefault="008D5885" w:rsidP="00D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7D7F" w14:textId="2F8A7BB9" w:rsidR="00A62EA4" w:rsidRPr="00A62EA4" w:rsidRDefault="00A62EA4" w:rsidP="00A62EA4">
    <w:pPr>
      <w:pStyle w:val="Header"/>
      <w:tabs>
        <w:tab w:val="left" w:pos="228"/>
      </w:tabs>
      <w:rPr>
        <w:rFonts w:ascii="Calibri" w:hAnsi="Calibri" w:cs="Calibri"/>
        <w:b/>
        <w:bCs/>
        <w:sz w:val="28"/>
        <w:szCs w:val="28"/>
        <w:lang w:val="en-GB"/>
      </w:rPr>
    </w:pPr>
    <w:r w:rsidRPr="00A62EA4">
      <w:rPr>
        <w:rFonts w:ascii="Calibri" w:hAnsi="Calibri" w:cs="Calibri"/>
        <w:b/>
        <w:bCs/>
        <w:sz w:val="28"/>
        <w:szCs w:val="28"/>
        <w:lang w:val="en-GB"/>
      </w:rPr>
      <w:drawing>
        <wp:anchor distT="0" distB="0" distL="114300" distR="114300" simplePos="0" relativeHeight="251658240" behindDoc="0" locked="0" layoutInCell="1" allowOverlap="1" wp14:anchorId="6EB928B8" wp14:editId="730E5DA0">
          <wp:simplePos x="0" y="0"/>
          <wp:positionH relativeFrom="column">
            <wp:posOffset>-937260</wp:posOffset>
          </wp:positionH>
          <wp:positionV relativeFrom="paragraph">
            <wp:posOffset>-297180</wp:posOffset>
          </wp:positionV>
          <wp:extent cx="2712720" cy="596265"/>
          <wp:effectExtent l="0" t="0" r="0" b="0"/>
          <wp:wrapSquare wrapText="bothSides"/>
          <wp:docPr id="1762736794" name="Picture 1" descr="A blue and yellow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736794" name="Picture 1" descr="A blue and yellow flow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bCs/>
        <w:sz w:val="28"/>
        <w:szCs w:val="28"/>
      </w:rPr>
      <w:tab/>
    </w:r>
  </w:p>
  <w:p w14:paraId="0E52B1D5" w14:textId="3D9455D7" w:rsidR="00DC01D3" w:rsidRPr="00DC01D3" w:rsidRDefault="00DC01D3" w:rsidP="00A62EA4">
    <w:pPr>
      <w:pStyle w:val="Header"/>
      <w:tabs>
        <w:tab w:val="left" w:pos="228"/>
      </w:tabs>
      <w:rPr>
        <w:rFonts w:ascii="Calibri" w:hAnsi="Calibri" w:cs="Calibri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F806D6"/>
    <w:multiLevelType w:val="hybridMultilevel"/>
    <w:tmpl w:val="FFFC0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B2262"/>
    <w:multiLevelType w:val="hybridMultilevel"/>
    <w:tmpl w:val="5A3C0E46"/>
    <w:lvl w:ilvl="0" w:tplc="D42AFAFA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96F69"/>
    <w:multiLevelType w:val="hybridMultilevel"/>
    <w:tmpl w:val="842AC888"/>
    <w:lvl w:ilvl="0" w:tplc="D42AFAFA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45C29"/>
    <w:multiLevelType w:val="hybridMultilevel"/>
    <w:tmpl w:val="D65E8018"/>
    <w:lvl w:ilvl="0" w:tplc="D42AFAFA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300F4E"/>
    <w:multiLevelType w:val="hybridMultilevel"/>
    <w:tmpl w:val="D01A1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50896">
    <w:abstractNumId w:val="8"/>
  </w:num>
  <w:num w:numId="2" w16cid:durableId="1506096058">
    <w:abstractNumId w:val="6"/>
  </w:num>
  <w:num w:numId="3" w16cid:durableId="2016153233">
    <w:abstractNumId w:val="5"/>
  </w:num>
  <w:num w:numId="4" w16cid:durableId="727993940">
    <w:abstractNumId w:val="4"/>
  </w:num>
  <w:num w:numId="5" w16cid:durableId="2073313674">
    <w:abstractNumId w:val="7"/>
  </w:num>
  <w:num w:numId="6" w16cid:durableId="1507818476">
    <w:abstractNumId w:val="3"/>
  </w:num>
  <w:num w:numId="7" w16cid:durableId="2021007302">
    <w:abstractNumId w:val="2"/>
  </w:num>
  <w:num w:numId="8" w16cid:durableId="334455105">
    <w:abstractNumId w:val="1"/>
  </w:num>
  <w:num w:numId="9" w16cid:durableId="2016110315">
    <w:abstractNumId w:val="0"/>
  </w:num>
  <w:num w:numId="10" w16cid:durableId="199051039">
    <w:abstractNumId w:val="9"/>
  </w:num>
  <w:num w:numId="11" w16cid:durableId="1472744882">
    <w:abstractNumId w:val="13"/>
  </w:num>
  <w:num w:numId="12" w16cid:durableId="1272393049">
    <w:abstractNumId w:val="12"/>
  </w:num>
  <w:num w:numId="13" w16cid:durableId="456489482">
    <w:abstractNumId w:val="10"/>
  </w:num>
  <w:num w:numId="14" w16cid:durableId="723871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5FF3"/>
    <w:rsid w:val="0029639D"/>
    <w:rsid w:val="00326F90"/>
    <w:rsid w:val="004E381C"/>
    <w:rsid w:val="00566CFF"/>
    <w:rsid w:val="008C7D7D"/>
    <w:rsid w:val="008D5885"/>
    <w:rsid w:val="009608C6"/>
    <w:rsid w:val="00A233BE"/>
    <w:rsid w:val="00A62EA4"/>
    <w:rsid w:val="00AA1D8D"/>
    <w:rsid w:val="00B47730"/>
    <w:rsid w:val="00B74087"/>
    <w:rsid w:val="00CB0664"/>
    <w:rsid w:val="00D356E7"/>
    <w:rsid w:val="00DC01D3"/>
    <w:rsid w:val="00F47A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A54651"/>
  <w14:defaultImageDpi w14:val="300"/>
  <w15:docId w15:val="{B45366F6-CE23-0C4A-B695-AEB38692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62E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EA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62E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gp.org.uk/learning-resources/daffodil-standards/daffodil-standards-resour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Lizzie Richmond</cp:lastModifiedBy>
  <cp:revision>2</cp:revision>
  <dcterms:created xsi:type="dcterms:W3CDTF">2025-10-09T10:01:00Z</dcterms:created>
  <dcterms:modified xsi:type="dcterms:W3CDTF">2025-10-09T10:01:00Z</dcterms:modified>
  <cp:category/>
</cp:coreProperties>
</file>