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1751" w14:textId="22EF41D2" w:rsidR="00AB218C" w:rsidRDefault="00AB218C" w:rsidP="00AB218C">
      <w:pPr>
        <w:pStyle w:val="Heading1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AB218C">
        <w:rPr>
          <w:rFonts w:ascii="Calibri" w:hAnsi="Calibri" w:cs="Calibri"/>
          <w:color w:val="000000" w:themeColor="text1"/>
          <w:sz w:val="20"/>
          <w:szCs w:val="20"/>
        </w:rPr>
        <w:t>Daffodil Standards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AB218C">
        <w:rPr>
          <w:rFonts w:ascii="Calibri" w:hAnsi="Calibri" w:cs="Calibri"/>
          <w:color w:val="000000" w:themeColor="text1"/>
          <w:sz w:val="20"/>
          <w:szCs w:val="20"/>
        </w:rPr>
        <w:t>Example Reflective Learning Guide</w:t>
      </w:r>
    </w:p>
    <w:p w14:paraId="314D4185" w14:textId="1AB8D8D0" w:rsidR="00AB218C" w:rsidRDefault="00AB218C" w:rsidP="00AB218C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  <w:r w:rsidRPr="00AB218C">
        <w:rPr>
          <w:rFonts w:ascii="Calibri" w:hAnsi="Calibri" w:cs="Calibri"/>
          <w:color w:val="000000" w:themeColor="text1"/>
          <w:sz w:val="20"/>
          <w:szCs w:val="20"/>
        </w:rPr>
        <w:t xml:space="preserve">Check most up to date version </w:t>
      </w:r>
      <w:hyperlink r:id="rId8" w:history="1">
        <w:r w:rsidRPr="00AB218C">
          <w:rPr>
            <w:rStyle w:val="Hyperlink"/>
            <w:rFonts w:ascii="Calibri" w:hAnsi="Calibri" w:cs="Calibri"/>
            <w:sz w:val="20"/>
            <w:szCs w:val="20"/>
          </w:rPr>
          <w:t>here</w:t>
        </w:r>
      </w:hyperlink>
      <w:r w:rsidRPr="00AB218C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33CA2CD5" w14:textId="54969E8C" w:rsidR="00403CA9" w:rsidRPr="00C35A1F" w:rsidRDefault="00000000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Daffodil Standards – </w:t>
      </w:r>
      <w:r w:rsidR="009C6C4B">
        <w:rPr>
          <w:rFonts w:ascii="Calibri" w:hAnsi="Calibri" w:cs="Calibri"/>
          <w:color w:val="000000" w:themeColor="text1"/>
          <w:sz w:val="20"/>
          <w:szCs w:val="20"/>
        </w:rPr>
        <w:t>Example</w:t>
      </w:r>
      <w:r w:rsidR="00C35A1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Reflect</w:t>
      </w:r>
      <w:r w:rsidR="00C35A1F">
        <w:rPr>
          <w:rFonts w:ascii="Calibri" w:hAnsi="Calibri" w:cs="Calibri"/>
          <w:color w:val="000000" w:themeColor="text1"/>
          <w:sz w:val="20"/>
          <w:szCs w:val="20"/>
        </w:rPr>
        <w:t>ive Learning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Guide </w:t>
      </w:r>
    </w:p>
    <w:p w14:paraId="6E26C317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 practical, step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by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step guide for GP practices to run reflective group learning and quality improvement against all eight Daffodil Standards. Use this in MDTs, governance meetings, and appraisal/QI evidence. It combines the official RCGP–Marie Curie reflective guidance with your modernised framework (Focus, Good Practice, Reflection Prompts, Evidence, and QI actions).</w:t>
      </w:r>
    </w:p>
    <w:p w14:paraId="60172FC8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to use this guide</w:t>
      </w:r>
    </w:p>
    <w:p w14:paraId="7490F12E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1) Convene a multidisciplinary group (clinicians, nurses/HCAs, PM/QI lead, admin/reception, pharmacy, link workers).</w:t>
      </w:r>
    </w:p>
    <w:p w14:paraId="778176A1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2) Agree ground rules (learning space, no-blame, confidentiality, option to pause/leave).</w:t>
      </w:r>
    </w:p>
    <w:p w14:paraId="3CB10788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3) Pick a Standard, run the group exercise, and agree 1–2 SMART actions and owners.</w:t>
      </w:r>
    </w:p>
    <w:p w14:paraId="6E7ACEC9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4) Capture learning in minutes; update the Training Needs Analysis (TNA), SWOT, and Staff Training Log.</w:t>
      </w:r>
    </w:p>
    <w:p w14:paraId="785BE1D0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5) Revisit actions at the next MDT; monitor with simple audits/dashboards.</w:t>
      </w:r>
    </w:p>
    <w:p w14:paraId="77F2DEDF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Group reflection ground rules</w:t>
      </w:r>
    </w:p>
    <w:p w14:paraId="3B5D0A06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Agree time available and who will facilitate.</w:t>
      </w:r>
    </w:p>
    <w:p w14:paraId="7B564924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Everyone’s opinion and beliefs are valid and to be respected.</w:t>
      </w:r>
    </w:p>
    <w:p w14:paraId="3840D66D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Emphasise this is a learning discussion; blame-free and confidential.</w:t>
      </w:r>
    </w:p>
    <w:p w14:paraId="2A6EE01A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Acknowledge the sensitivity of topics; allow people to pause or step out if needed.</w:t>
      </w:r>
    </w:p>
    <w:p w14:paraId="7A980A60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Ensure a named lead is available during/after the session to debrief and support.</w:t>
      </w:r>
    </w:p>
    <w:p w14:paraId="35D30946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Tip: Use a simple learning cycle – experience → reflection → conclusions → test change (PDSA).</w:t>
      </w:r>
    </w:p>
    <w:p w14:paraId="7C179AC4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Standard 1 – Professional and Competent Staff</w:t>
      </w:r>
    </w:p>
    <w:p w14:paraId="30995753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ensure clear leadership, staff development, and a culture of reflective learning and QI.</w:t>
      </w:r>
    </w:p>
    <w:p w14:paraId="05B7EA3D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7BA1ECE4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Named EOLC clinical lead and MDT lead; role supported with time/training.</w:t>
      </w:r>
    </w:p>
    <w:p w14:paraId="0E09D2A7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Whole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practice training matrix, regular reflective discussions, protected learning time.</w:t>
      </w:r>
    </w:p>
    <w:p w14:paraId="29E312D5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Clear escalation pathways and access to 24/7 specialist advice.</w:t>
      </w:r>
    </w:p>
    <w:p w14:paraId="075637C5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Group exercise – aim &amp; principles</w:t>
      </w:r>
    </w:p>
    <w:p w14:paraId="11A6317F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Aim: enable clear leadership and culture of learning; draw on </w:t>
      </w:r>
      <w:proofErr w:type="gramStart"/>
      <w:r w:rsidRPr="00C35A1F">
        <w:rPr>
          <w:rFonts w:ascii="Calibri" w:hAnsi="Calibri" w:cs="Calibri"/>
          <w:color w:val="000000" w:themeColor="text1"/>
          <w:sz w:val="20"/>
          <w:szCs w:val="20"/>
        </w:rPr>
        <w:t>staff’s</w:t>
      </w:r>
      <w:proofErr w:type="gramEnd"/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lived practice experience.</w:t>
      </w:r>
    </w:p>
    <w:p w14:paraId="2FC5A011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Principles: select a patient where learning is possible; no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blame; encourage reflection; make recommendations; review actions later.</w:t>
      </w:r>
    </w:p>
    <w:p w14:paraId="4B9A783A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lastRenderedPageBreak/>
        <w:t>Discussion prompts</w:t>
      </w:r>
    </w:p>
    <w:p w14:paraId="000330ED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What happened initially and subsequently? How was the person noticed/identified? Who else knew them?</w:t>
      </w:r>
    </w:p>
    <w:p w14:paraId="15789E23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What were the needs (health, psychosocial, spiritual, practical)? What worked well/made a difference?</w:t>
      </w:r>
    </w:p>
    <w:p w14:paraId="4F57545F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What was the learning for individuals and the practice? What will we do differently? When will we review?</w:t>
      </w:r>
    </w:p>
    <w:p w14:paraId="644C95E9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Evidence examples</w:t>
      </w:r>
    </w:p>
    <w:p w14:paraId="691FF00C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Attendance and notes; case history recorded; sensitive communication demonstrated.</w:t>
      </w:r>
    </w:p>
    <w:p w14:paraId="0948E57D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Identified roles/leads; learning needs captured; links into SWOT and the Training Needs Analysis (TNA).</w:t>
      </w:r>
    </w:p>
    <w:p w14:paraId="4C9899D1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QI idea</w:t>
      </w:r>
    </w:p>
    <w:p w14:paraId="1551C39D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Annual practice SWOT focused on EOLC capability and culture; convert top issues into SMART goals.</w:t>
      </w:r>
    </w:p>
    <w:p w14:paraId="7CCA2BF5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Standard 2 – Early Identification</w:t>
      </w:r>
    </w:p>
    <w:p w14:paraId="7305529B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continuously develop a robust ‘Supportive Care Register’ and equitable early identification.</w:t>
      </w:r>
    </w:p>
    <w:p w14:paraId="2E3F0736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430462AE" w14:textId="7789FCA5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Use of </w:t>
      </w:r>
      <w:proofErr w:type="spellStart"/>
      <w:r w:rsidRPr="00C35A1F">
        <w:rPr>
          <w:rFonts w:ascii="Calibri" w:hAnsi="Calibri" w:cs="Calibri"/>
          <w:color w:val="000000" w:themeColor="text1"/>
          <w:sz w:val="20"/>
          <w:szCs w:val="20"/>
        </w:rPr>
        <w:t>recognised</w:t>
      </w:r>
      <w:proofErr w:type="spellEnd"/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tools (e.g. SPICT/frailty) plus clinical judgement across all roles.</w:t>
      </w:r>
    </w:p>
    <w:p w14:paraId="1A4A92AB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Clear protocol to validate, code and flag identified patients/carers; inclusive of non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cancer diagnoses.</w:t>
      </w:r>
    </w:p>
    <w:p w14:paraId="39E95B5A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Group exercise – aim, principles &amp; task</w:t>
      </w:r>
    </w:p>
    <w:p w14:paraId="48624C22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Aim: maximise early identification and maintain a reliable register.</w:t>
      </w:r>
    </w:p>
    <w:p w14:paraId="7E0F9648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Principles: minimum dataset agreed; align with retrospective death audit dataset; estimate expected deaths to size the register.</w:t>
      </w:r>
    </w:p>
    <w:p w14:paraId="37053182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Task: agree the protocol; map all staff touchpoints for identification; confirm coding/flagging; agree how the whole practice sees flags.</w:t>
      </w:r>
    </w:p>
    <w:p w14:paraId="5D490A89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Discussion prompts</w:t>
      </w:r>
    </w:p>
    <w:p w14:paraId="56262074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What happens now to identify patients and carers early? What works well? What could improve?</w:t>
      </w:r>
    </w:p>
    <w:p w14:paraId="0FB7F78E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What will each role trial to strengthen identification? When will we review and share learning?</w:t>
      </w:r>
    </w:p>
    <w:p w14:paraId="1FA0CE44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Evidence &amp; QI</w:t>
      </w:r>
    </w:p>
    <w:p w14:paraId="7715CBB6" w14:textId="5267BFA4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Protocol, coding/flagging approach, staff awareness; monthly % on register vs practice deaths (~1%/yr) and anticipated deaths (</w:t>
      </w:r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>typically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~60–70%).</w:t>
      </w:r>
    </w:p>
    <w:p w14:paraId="1A34EA20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Standard 3 – Carer Support (before and after death)</w:t>
      </w:r>
    </w:p>
    <w:p w14:paraId="7B067B67" w14:textId="712FCC4B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identify carers, assess needs (co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worker and client roles), and offer/signpost support (e.g. CSNAT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informed).</w:t>
      </w:r>
    </w:p>
    <w:p w14:paraId="42B91DF2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52BEAC99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Carers identified and coded; LPA/guardianship recorded where relevant.</w:t>
      </w:r>
    </w:p>
    <w:p w14:paraId="77F041B2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Holistic assessment/signposting and bereavement information routinely offered.</w:t>
      </w:r>
    </w:p>
    <w:p w14:paraId="57153AE1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lastRenderedPageBreak/>
        <w:t>Group exercise – aim &amp; task</w:t>
      </w:r>
    </w:p>
    <w:p w14:paraId="6480B542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Aim: understand how the practice supports carers before/after death and continuously improve processes and quality.</w:t>
      </w:r>
    </w:p>
    <w:p w14:paraId="38B697EB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Task: map who contacts carers; how needs are picked up (co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worker &amp; client); gaps; small trials; set review date; repeat.</w:t>
      </w:r>
    </w:p>
    <w:p w14:paraId="4FEEDE46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Discussion prompts</w:t>
      </w:r>
    </w:p>
    <w:p w14:paraId="19D1FD59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do we identify and record carers? How do we offer assessment/signposting?</w:t>
      </w:r>
    </w:p>
    <w:p w14:paraId="27F0F19C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What trials could improve processes or quality for carers in our context?</w:t>
      </w:r>
    </w:p>
    <w:p w14:paraId="6171C2F0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Evidence &amp; QI</w:t>
      </w:r>
    </w:p>
    <w:p w14:paraId="64506626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Audit criteria agreed; monthly % of carers identified for patients on the register (aim to trend up; many practices work toward ~60–90%).</w:t>
      </w:r>
    </w:p>
    <w:p w14:paraId="7B6BAE65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Standard 4 – Seamless, </w:t>
      </w:r>
      <w:proofErr w:type="gramStart"/>
      <w:r w:rsidRPr="00C35A1F">
        <w:rPr>
          <w:rFonts w:ascii="Calibri" w:hAnsi="Calibri" w:cs="Calibri"/>
          <w:color w:val="000000" w:themeColor="text1"/>
          <w:sz w:val="20"/>
          <w:szCs w:val="20"/>
        </w:rPr>
        <w:t>Well</w:t>
      </w:r>
      <w:proofErr w:type="gramEnd"/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Planned, Coordinated Care</w:t>
      </w:r>
    </w:p>
    <w:p w14:paraId="6D0E5CCA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high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performing MDTs with clear structure (form) and process (function) driving consistent, person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centred care.</w:t>
      </w:r>
    </w:p>
    <w:p w14:paraId="5B0A9436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3FE4CBEF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Terms of Reference (aim/objectives/membership/attendance/governance/documents/confidentiality/review).</w:t>
      </w:r>
    </w:p>
    <w:p w14:paraId="47707461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Selection, coordination/admin, and data/monitoring processes defined; patient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centred communication embedded.</w:t>
      </w:r>
    </w:p>
    <w:p w14:paraId="402D7DF0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Group exercise – task highlights</w:t>
      </w:r>
    </w:p>
    <w:p w14:paraId="2C452BB7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Define MDT team/membership (core and extended), chairing, cadence, governance and data set.</w:t>
      </w:r>
    </w:p>
    <w:p w14:paraId="74AAE8EA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Clarify referral, prioritisation (e.g., needs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based coding), and info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sharing in/out of hours.</w:t>
      </w:r>
    </w:p>
    <w:p w14:paraId="5BB64640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Agree MDT purpose (info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sharing/decisions/education/peer support) and SMART outcomes; review deaths routinely (expected/unexpected).</w:t>
      </w:r>
    </w:p>
    <w:p w14:paraId="7AB1FF01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Discussion prompts</w:t>
      </w:r>
    </w:p>
    <w:p w14:paraId="1990CFF0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do we ensure timely information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sharing and decision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making aligned to patient goals (and carers’ goals)?</w:t>
      </w:r>
    </w:p>
    <w:p w14:paraId="6385E65A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will we use the MDT template/retrospective audit to learn and improve every month?</w:t>
      </w:r>
    </w:p>
    <w:p w14:paraId="22E3056E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Evidence &amp; QI</w:t>
      </w:r>
    </w:p>
    <w:p w14:paraId="7A5414AA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ToR, attendance, MDT outcomes; use of MDT/retrospective death audit templates to build an annual analysis and QI plan.</w:t>
      </w:r>
    </w:p>
    <w:p w14:paraId="06A9B772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Standard 5 – Personalised Care and Support Plans (PCSP)</w:t>
      </w:r>
    </w:p>
    <w:p w14:paraId="37EF434B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timely, accessible conversations and documentation (TEP, ACP, support mapping) shared with those who need to know.</w:t>
      </w:r>
    </w:p>
    <w:p w14:paraId="70F55488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0EB8DFC4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Ask permission; go at the person’s pace; involve those important to them; ensure accessible information needs are recorded and met.</w:t>
      </w:r>
    </w:p>
    <w:p w14:paraId="656D2D81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Record and share plans with patient/representatives and key professionals; agree review intervals.</w:t>
      </w:r>
    </w:p>
    <w:p w14:paraId="28779CC2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lastRenderedPageBreak/>
        <w:t>Group exercise – discussion &amp; task</w:t>
      </w:r>
    </w:p>
    <w:p w14:paraId="0FC591BA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Review a patient who died (expected): were TEP/ACP/Support Map present? What was the quality and impact of conversations?</w:t>
      </w:r>
    </w:p>
    <w:p w14:paraId="2974387B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If absent, where were opportunities to plan earlier? What would be different next time? How will we monitor improvement?</w:t>
      </w:r>
    </w:p>
    <w:p w14:paraId="6AA78B17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Process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map how PCSPs are made available across settings; ensure templates/coding are reliable and shared.</w:t>
      </w:r>
    </w:p>
    <w:p w14:paraId="388FEB57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Evidence &amp; QI</w:t>
      </w:r>
    </w:p>
    <w:p w14:paraId="0444375C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PCSP objectives agreed; coding/recording/coordination system; PCSP availability; process map; use Model for Improvement (PDSA).</w:t>
      </w:r>
    </w:p>
    <w:p w14:paraId="480C743A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Standard 6 – Quality Care in the Last Days of Life</w:t>
      </w:r>
    </w:p>
    <w:p w14:paraId="20D3AA91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deliver the Five Priorities of Care consistently, aligned with NICE NG31 and local clinical guidance.</w:t>
      </w:r>
    </w:p>
    <w:p w14:paraId="734339D1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750DE927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Recognise; Communicate; Involve; Support; Plan &amp; do – with timely symptom control and access to anticipatory meds/equipment.</w:t>
      </w:r>
    </w:p>
    <w:p w14:paraId="31B68277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Lead clinician accountability clear; prioritised access in hours and OOH; feedback gathered and used.</w:t>
      </w:r>
    </w:p>
    <w:p w14:paraId="41B7EE77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Group exercise – discussion &amp; task</w:t>
      </w:r>
    </w:p>
    <w:p w14:paraId="48441FE6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Sample the last 5–10 expected deaths: were Five Priorities met? What worked? What was unmet and why?</w:t>
      </w:r>
    </w:p>
    <w:p w14:paraId="78889E22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do we ensure the priorities are met for people currently on the Supportive Care Register?</w:t>
      </w:r>
    </w:p>
    <w:p w14:paraId="2C27678D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will lessons be shared and embedded (practice and network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wide)?</w:t>
      </w:r>
    </w:p>
    <w:p w14:paraId="7EBC66F5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Evidence &amp; QI</w:t>
      </w:r>
    </w:p>
    <w:p w14:paraId="1CC6C3EF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Audit criteria and continuous monitoring of Five Priorities; actions when standards not met; learning fed back into MDT and QI plan.</w:t>
      </w:r>
    </w:p>
    <w:p w14:paraId="10577621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Standard 7 – Care After Death</w:t>
      </w:r>
    </w:p>
    <w:p w14:paraId="065B7C5A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compassionate, proportionate support after death; avoid over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medicalising normal grief; identify those needing intervention.</w:t>
      </w:r>
    </w:p>
    <w:p w14:paraId="7EBE2A2F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606554B1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Timely record of deceased patients and bereaved people accessible to staff; agreed support/signposting protocol.</w:t>
      </w:r>
    </w:p>
    <w:p w14:paraId="2A6F01AA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Awareness of normal vs complex grief; routine, compassionate contact (e.g., condolence call/letter) and clear escalation routes.</w:t>
      </w:r>
    </w:p>
    <w:p w14:paraId="7F9F97CB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Group exercise – discussion &amp; task</w:t>
      </w:r>
    </w:p>
    <w:p w14:paraId="288F3A10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Discuss two cases: one with ‘normal grief’, one requiring clinical intervention; what helped, what was challenging (including staff grief)?</w:t>
      </w:r>
    </w:p>
    <w:p w14:paraId="19B34045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does the practice acknowledge bereavement, signpost, and document support? What will be improved next quarter?</w:t>
      </w:r>
    </w:p>
    <w:p w14:paraId="0CB56359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lastRenderedPageBreak/>
        <w:t>Evidence &amp; QI</w:t>
      </w:r>
    </w:p>
    <w:p w14:paraId="25B0FD5D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Protocol for support after death; audit of bereavement contacts and information provided; learning actions recorded.</w:t>
      </w:r>
    </w:p>
    <w:p w14:paraId="11F49CD3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Standard 8 – General Practice as Hubs within Compassionate Communities</w:t>
      </w:r>
    </w:p>
    <w:p w14:paraId="7030FB6E" w14:textId="77777777" w:rsidR="00403CA9" w:rsidRPr="00C35A1F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Focus: compassionate culture, staff wellbeing, and meaningful patient/carer feedback; connect with local non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medical networks.</w:t>
      </w:r>
    </w:p>
    <w:p w14:paraId="222A8E51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Good practice indicators</w:t>
      </w:r>
    </w:p>
    <w:p w14:paraId="55A28DB8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Reliable system to gather staff feedback/debriefs and patient/</w:t>
      </w:r>
      <w:proofErr w:type="gramStart"/>
      <w:r w:rsidRPr="00C35A1F">
        <w:rPr>
          <w:rFonts w:ascii="Calibri" w:hAnsi="Calibri" w:cs="Calibri"/>
          <w:color w:val="000000" w:themeColor="text1"/>
          <w:sz w:val="20"/>
          <w:szCs w:val="20"/>
        </w:rPr>
        <w:t>carer</w:t>
      </w:r>
      <w:proofErr w:type="gramEnd"/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00C35A1F">
        <w:rPr>
          <w:rFonts w:ascii="Calibri" w:hAnsi="Calibri" w:cs="Calibri"/>
          <w:color w:val="000000" w:themeColor="text1"/>
          <w:sz w:val="20"/>
          <w:szCs w:val="20"/>
        </w:rPr>
        <w:t>experience;</w:t>
      </w:r>
      <w:proofErr w:type="gramEnd"/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annual evaluation of practice culture.</w:t>
      </w:r>
    </w:p>
    <w:p w14:paraId="5823B2F2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Accessible, up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to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date directory of local support services and groups; active collaboration with community partners/PPG.</w:t>
      </w:r>
    </w:p>
    <w:p w14:paraId="6C94C55A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Group exercise – discussion &amp; task</w:t>
      </w:r>
    </w:p>
    <w:p w14:paraId="22640CED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do we collect, analyse, and act on staff and patient/carer feedback? What methods/frequency avoid bias?</w:t>
      </w:r>
    </w:p>
    <w:p w14:paraId="7350A3E8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How do we publicise and co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develop local compassionate support networks (with voluntary/peer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led groups, schools, places of worship, etc.)?</w:t>
      </w:r>
    </w:p>
    <w:p w14:paraId="77ACE3E1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What will we do next month, who owns it, and how will we know it helped?</w:t>
      </w:r>
    </w:p>
    <w:p w14:paraId="3EAF1E75" w14:textId="77777777" w:rsidR="00403CA9" w:rsidRPr="00C35A1F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Evidence &amp; QI</w:t>
      </w:r>
    </w:p>
    <w:p w14:paraId="5F3041BF" w14:textId="6A5458E2" w:rsidR="00403CA9" w:rsidRPr="00C35A1F" w:rsidRDefault="00C35A1F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Patient &amp; Carer survey, Staff &amp; MDT survey, Feedback system, community directory, PPG involvement (see PPG Pack); action plan showing how qualitative feedback informs service improvement.</w:t>
      </w:r>
    </w:p>
    <w:p w14:paraId="59573505" w14:textId="77777777" w:rsidR="00403CA9" w:rsidRPr="00C35A1F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Integrate reflection with your TNA, SWOT and Training Log</w:t>
      </w:r>
    </w:p>
    <w:p w14:paraId="0199EB98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Capture learning needs from each session into the Training Needs Analysis and update the Staff Training Log on completion of modules.</w:t>
      </w:r>
    </w:p>
    <w:p w14:paraId="08EFD37B" w14:textId="77777777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>Use the annual SWOT to set 2–3 practice</w:t>
      </w:r>
      <w:r w:rsidRPr="00C35A1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level </w:t>
      </w:r>
      <w:proofErr w:type="gramStart"/>
      <w:r w:rsidRPr="00C35A1F">
        <w:rPr>
          <w:rFonts w:ascii="Calibri" w:hAnsi="Calibri" w:cs="Calibri"/>
          <w:color w:val="000000" w:themeColor="text1"/>
          <w:sz w:val="20"/>
          <w:szCs w:val="20"/>
        </w:rPr>
        <w:t>priorities;</w:t>
      </w:r>
      <w:proofErr w:type="gramEnd"/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track progress in governance minutes.</w:t>
      </w:r>
    </w:p>
    <w:p w14:paraId="7390BE11" w14:textId="64CCC448" w:rsidR="00403CA9" w:rsidRPr="00C35A1F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Link reflective actions to simple measures: </w:t>
      </w:r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Of all deaths, 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% identified on </w:t>
      </w:r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palliative care (or equivalent) 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register; % carers identified</w:t>
      </w:r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for people on palliative care (or equivalent) register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; </w:t>
      </w:r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>after death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audit; bereavement contacts</w:t>
      </w:r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 xml:space="preserve"> (condolences and support </w:t>
      </w:r>
      <w:proofErr w:type="gramStart"/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>sign-posting</w:t>
      </w:r>
      <w:proofErr w:type="gramEnd"/>
      <w:r w:rsidR="00C35A1F" w:rsidRPr="00C35A1F">
        <w:rPr>
          <w:rFonts w:ascii="Calibri" w:hAnsi="Calibri" w:cs="Calibri"/>
          <w:color w:val="000000" w:themeColor="text1"/>
          <w:sz w:val="20"/>
          <w:szCs w:val="20"/>
        </w:rPr>
        <w:t>) post death</w:t>
      </w:r>
      <w:r w:rsidRPr="00C35A1F">
        <w:rPr>
          <w:rFonts w:ascii="Calibri" w:hAnsi="Calibri" w:cs="Calibri"/>
          <w:color w:val="000000" w:themeColor="text1"/>
          <w:sz w:val="20"/>
          <w:szCs w:val="20"/>
        </w:rPr>
        <w:t>.</w:t>
      </w:r>
    </w:p>
    <w:sectPr w:rsidR="00403CA9" w:rsidRPr="00C35A1F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51DB" w14:textId="77777777" w:rsidR="00E57A55" w:rsidRDefault="00E57A55" w:rsidP="009C6C4B">
      <w:pPr>
        <w:spacing w:after="0" w:line="240" w:lineRule="auto"/>
      </w:pPr>
      <w:r>
        <w:separator/>
      </w:r>
    </w:p>
  </w:endnote>
  <w:endnote w:type="continuationSeparator" w:id="0">
    <w:p w14:paraId="28E2DBFC" w14:textId="77777777" w:rsidR="00E57A55" w:rsidRDefault="00E57A55" w:rsidP="009C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2708" w14:textId="0B42B3A4" w:rsidR="00AB218C" w:rsidRDefault="00AB218C">
    <w:pPr>
      <w:pStyle w:val="Footer"/>
    </w:pPr>
    <w:r>
      <w:t>Version 1 Oct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4385" w14:textId="77777777" w:rsidR="00E57A55" w:rsidRDefault="00E57A55" w:rsidP="009C6C4B">
      <w:pPr>
        <w:spacing w:after="0" w:line="240" w:lineRule="auto"/>
      </w:pPr>
      <w:r>
        <w:separator/>
      </w:r>
    </w:p>
  </w:footnote>
  <w:footnote w:type="continuationSeparator" w:id="0">
    <w:p w14:paraId="794AEDF4" w14:textId="77777777" w:rsidR="00E57A55" w:rsidRDefault="00E57A55" w:rsidP="009C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A043" w14:textId="1651D66B" w:rsidR="00AB218C" w:rsidRPr="00AB218C" w:rsidRDefault="00AB218C" w:rsidP="00AB218C">
    <w:pPr>
      <w:pStyle w:val="Header"/>
      <w:rPr>
        <w:lang w:val="en-GB"/>
      </w:rPr>
    </w:pPr>
    <w:r w:rsidRPr="00AB218C">
      <w:rPr>
        <w:lang w:val="en-GB"/>
      </w:rPr>
      <w:drawing>
        <wp:inline distT="0" distB="0" distL="0" distR="0" wp14:anchorId="2ED811A5" wp14:editId="7D018C17">
          <wp:extent cx="2321613" cy="510540"/>
          <wp:effectExtent l="0" t="0" r="2540" b="3810"/>
          <wp:docPr id="1845603913" name="Picture 1" descr="A blue and yellow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603913" name="Picture 1" descr="A blue and yellow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766" cy="51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7DEB4" w14:textId="77777777" w:rsidR="00AB218C" w:rsidRDefault="00AB2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4126875">
    <w:abstractNumId w:val="8"/>
  </w:num>
  <w:num w:numId="2" w16cid:durableId="80300107">
    <w:abstractNumId w:val="6"/>
  </w:num>
  <w:num w:numId="3" w16cid:durableId="1356928451">
    <w:abstractNumId w:val="5"/>
  </w:num>
  <w:num w:numId="4" w16cid:durableId="771049064">
    <w:abstractNumId w:val="4"/>
  </w:num>
  <w:num w:numId="5" w16cid:durableId="1403137426">
    <w:abstractNumId w:val="7"/>
  </w:num>
  <w:num w:numId="6" w16cid:durableId="2069724481">
    <w:abstractNumId w:val="3"/>
  </w:num>
  <w:num w:numId="7" w16cid:durableId="929779386">
    <w:abstractNumId w:val="2"/>
  </w:num>
  <w:num w:numId="8" w16cid:durableId="1149512888">
    <w:abstractNumId w:val="1"/>
  </w:num>
  <w:num w:numId="9" w16cid:durableId="34329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CF5"/>
    <w:rsid w:val="0029639D"/>
    <w:rsid w:val="00326F90"/>
    <w:rsid w:val="00403CA9"/>
    <w:rsid w:val="004E381C"/>
    <w:rsid w:val="005405F0"/>
    <w:rsid w:val="007743A9"/>
    <w:rsid w:val="00925B9E"/>
    <w:rsid w:val="009C6C4B"/>
    <w:rsid w:val="00AA1D8D"/>
    <w:rsid w:val="00AB218C"/>
    <w:rsid w:val="00B47730"/>
    <w:rsid w:val="00C35A1F"/>
    <w:rsid w:val="00CB0664"/>
    <w:rsid w:val="00E57A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0D1A0"/>
  <w14:defaultImageDpi w14:val="300"/>
  <w15:docId w15:val="{B45366F6-CE23-0C4A-B695-AEB38692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2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learning-resources/daffodil-standards/daffodil-standards-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Lizzie Richmond</cp:lastModifiedBy>
  <cp:revision>2</cp:revision>
  <dcterms:created xsi:type="dcterms:W3CDTF">2025-10-09T09:50:00Z</dcterms:created>
  <dcterms:modified xsi:type="dcterms:W3CDTF">2025-10-09T09:50:00Z</dcterms:modified>
  <cp:category/>
</cp:coreProperties>
</file>