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F9FA0" w14:textId="6747DD4B" w:rsidR="00572C22" w:rsidRDefault="00572C22" w:rsidP="00572C22">
      <w:pPr>
        <w:pStyle w:val="Title"/>
        <w:rPr>
          <w:rFonts w:cs="Arial"/>
          <w:bCs w:val="0"/>
          <w:szCs w:val="28"/>
        </w:rPr>
      </w:pPr>
      <w:r>
        <w:rPr>
          <w:noProof/>
        </w:rPr>
        <w:t>National Institute for Health and Care Excellence</w:t>
      </w:r>
    </w:p>
    <w:p w14:paraId="71742872" w14:textId="4FE8CB72" w:rsidR="00572C22" w:rsidRPr="00572C22" w:rsidRDefault="005C0C25" w:rsidP="00572C22">
      <w:pPr>
        <w:pStyle w:val="Heading1"/>
        <w:jc w:val="center"/>
      </w:pPr>
      <w:r w:rsidRPr="005C0C25">
        <w:t>Osteoporosis</w:t>
      </w:r>
    </w:p>
    <w:p w14:paraId="03AB8C41" w14:textId="77777777" w:rsidR="00572C22" w:rsidRDefault="00572C22" w:rsidP="00572C22">
      <w:pPr>
        <w:pStyle w:val="Header"/>
        <w:rPr>
          <w:rFonts w:cs="Arial"/>
          <w:b/>
          <w:bCs/>
        </w:rPr>
      </w:pPr>
    </w:p>
    <w:p w14:paraId="673045E5" w14:textId="54B179B8" w:rsidR="00572C22" w:rsidRPr="005F370B" w:rsidRDefault="00572C22" w:rsidP="008316C1">
      <w:pPr>
        <w:pStyle w:val="Header"/>
        <w:spacing w:line="276" w:lineRule="auto"/>
        <w:rPr>
          <w:rFonts w:cs="Arial"/>
          <w:bCs/>
          <w:u w:val="single"/>
        </w:rPr>
      </w:pPr>
      <w:r w:rsidRPr="005F370B">
        <w:rPr>
          <w:rFonts w:cs="Arial"/>
          <w:b/>
          <w:bCs/>
        </w:rPr>
        <w:t xml:space="preserve">Stakeholder engagement – deadline for comments </w:t>
      </w:r>
      <w:r w:rsidR="005C0C25">
        <w:rPr>
          <w:rFonts w:cs="Arial"/>
          <w:bCs/>
          <w:u w:val="single"/>
        </w:rPr>
        <w:t>17:00</w:t>
      </w:r>
      <w:r w:rsidRPr="005F370B">
        <w:rPr>
          <w:rFonts w:cs="Arial"/>
          <w:bCs/>
          <w:u w:val="single"/>
        </w:rPr>
        <w:t xml:space="preserve"> on</w:t>
      </w:r>
      <w:r w:rsidR="005C0C25">
        <w:rPr>
          <w:rFonts w:cs="Arial"/>
          <w:bCs/>
          <w:u w:val="single"/>
        </w:rPr>
        <w:t xml:space="preserve"> 29/07/2025</w:t>
      </w:r>
    </w:p>
    <w:p w14:paraId="0B521E7D" w14:textId="14CFCFEF" w:rsidR="003F30B7" w:rsidRPr="005F370B" w:rsidRDefault="00572C22" w:rsidP="003F30B7">
      <w:pPr>
        <w:pStyle w:val="Paragraphnonumbers"/>
        <w:rPr>
          <w:rFonts w:cs="Arial"/>
        </w:rPr>
      </w:pPr>
      <w:r w:rsidRPr="005F370B">
        <w:rPr>
          <w:rFonts w:cs="Arial"/>
          <w:b/>
          <w:bCs/>
          <w:u w:val="single"/>
        </w:rPr>
        <w:t>email</w:t>
      </w:r>
      <w:r w:rsidRPr="005F370B">
        <w:rPr>
          <w:rFonts w:cs="Arial"/>
          <w:bCs/>
          <w:u w:val="single"/>
        </w:rPr>
        <w:t>:</w:t>
      </w:r>
      <w:r w:rsidRPr="005F370B">
        <w:rPr>
          <w:rFonts w:cs="Arial"/>
          <w:b/>
          <w:bCs/>
          <w:u w:val="single"/>
        </w:rPr>
        <w:t xml:space="preserve"> </w:t>
      </w:r>
      <w:hyperlink r:id="rId7" w:history="1">
        <w:r w:rsidR="00762EAD">
          <w:rPr>
            <w:rStyle w:val="Hyperlink"/>
            <w:rFonts w:cs="Arial"/>
          </w:rPr>
          <w:t>QualityStandards@nice.org.uk</w:t>
        </w:r>
      </w:hyperlink>
    </w:p>
    <w:p w14:paraId="77AFA195" w14:textId="285F1D2F" w:rsidR="00572C22" w:rsidRDefault="00572C22" w:rsidP="008316C1">
      <w:pPr>
        <w:spacing w:line="276" w:lineRule="auto"/>
        <w:rPr>
          <w:rFonts w:ascii="Arial" w:hAnsi="Arial" w:cs="Arial"/>
        </w:rPr>
      </w:pPr>
      <w:r w:rsidRPr="005F370B">
        <w:rPr>
          <w:rFonts w:ascii="Arial" w:hAnsi="Arial" w:cs="Arial"/>
        </w:rPr>
        <w:t xml:space="preserve">Please read the checklist for submitting comments at the end of this form. We cannot accept forms that are not filled in correctly or arrive after the deadline. </w:t>
      </w:r>
    </w:p>
    <w:p w14:paraId="715BB291" w14:textId="77777777" w:rsidR="00B852BD" w:rsidRDefault="00B852BD" w:rsidP="00B852BD">
      <w:pPr>
        <w:pStyle w:val="Heading1"/>
        <w:spacing w:before="240"/>
      </w:pPr>
      <w:r>
        <w:t>Introduction</w:t>
      </w:r>
    </w:p>
    <w:p w14:paraId="5D907E51" w14:textId="10D66F9A" w:rsidR="00B852BD" w:rsidRDefault="00B852BD" w:rsidP="00B852BD">
      <w:pPr>
        <w:pStyle w:val="NICEnormal"/>
        <w:spacing w:line="276" w:lineRule="auto"/>
      </w:pPr>
      <w:r w:rsidRPr="005C0C25">
        <w:rPr>
          <w:rFonts w:cs="Arial"/>
        </w:rPr>
        <w:t>This quality standard covers</w:t>
      </w:r>
      <w:r w:rsidR="005C0C25" w:rsidRPr="005C0C25">
        <w:rPr>
          <w:rFonts w:cs="Arial"/>
        </w:rPr>
        <w:t xml:space="preserve"> managing osteoporosis in adults (aged 18 and over), including assessing risk and preventing fragility fractures</w:t>
      </w:r>
      <w:r w:rsidRPr="005C0C25">
        <w:t xml:space="preserve">. It will replace the existing </w:t>
      </w:r>
      <w:hyperlink r:id="rId8" w:history="1">
        <w:r w:rsidR="00FC4526" w:rsidRPr="00863445">
          <w:rPr>
            <w:rStyle w:val="Hyperlink"/>
          </w:rPr>
          <w:t>NICE quality standard for osteoporosis</w:t>
        </w:r>
        <w:r w:rsidR="00FC4526" w:rsidRPr="00863445" w:rsidDel="00D1312F">
          <w:rPr>
            <w:rStyle w:val="Hyperlink"/>
          </w:rPr>
          <w:t xml:space="preserve"> </w:t>
        </w:r>
        <w:r w:rsidR="00FC4526" w:rsidRPr="00863445">
          <w:rPr>
            <w:rStyle w:val="Hyperlink"/>
          </w:rPr>
          <w:t>(QS149)</w:t>
        </w:r>
      </w:hyperlink>
      <w:r w:rsidRPr="005C0C25">
        <w:t xml:space="preserve">. The topic was identified for update because source guidance is </w:t>
      </w:r>
      <w:r w:rsidR="005C0C25">
        <w:t xml:space="preserve">in </w:t>
      </w:r>
      <w:r w:rsidR="005C0C25" w:rsidRPr="005C0C25">
        <w:t xml:space="preserve">development </w:t>
      </w:r>
      <w:hyperlink r:id="rId9" w:history="1">
        <w:r w:rsidR="005C0C25" w:rsidRPr="005C0C25">
          <w:rPr>
            <w:rStyle w:val="Hyperlink"/>
          </w:rPr>
          <w:t>Osteoporosis: risk assessment, treatment, and fragility fracture prevention (update)</w:t>
        </w:r>
      </w:hyperlink>
      <w:r w:rsidR="005C0C25">
        <w:t>.</w:t>
      </w:r>
    </w:p>
    <w:p w14:paraId="0ECE07FE" w14:textId="7E046051" w:rsidR="00B73FB9" w:rsidRPr="00330F9B" w:rsidRDefault="00B73FB9" w:rsidP="00B852BD">
      <w:pPr>
        <w:pStyle w:val="NICEnormal"/>
        <w:spacing w:line="276" w:lineRule="auto"/>
      </w:pPr>
      <w:r>
        <w:t xml:space="preserve">The key </w:t>
      </w:r>
      <w:r w:rsidR="00345509">
        <w:t xml:space="preserve">potential </w:t>
      </w:r>
      <w:r>
        <w:t>development sources for this quality standard is</w:t>
      </w:r>
      <w:r w:rsidR="005C0C25">
        <w:t xml:space="preserve"> </w:t>
      </w:r>
      <w:hyperlink r:id="rId10" w:tgtFrame="_top" w:history="1">
        <w:r w:rsidR="005C0C25" w:rsidRPr="005C0C25">
          <w:rPr>
            <w:rStyle w:val="Hyperlink"/>
          </w:rPr>
          <w:t>Osteoporosis: assessing the risk of fragility fracture. NICE guideline CG146</w:t>
        </w:r>
      </w:hyperlink>
      <w:r w:rsidR="005C0C25" w:rsidRPr="005C0C25">
        <w:t> (2012, updated 2017)</w:t>
      </w:r>
      <w:r w:rsidR="005C0C25">
        <w:t xml:space="preserve"> and its update.</w:t>
      </w:r>
    </w:p>
    <w:p w14:paraId="24526DE1" w14:textId="08EFF984" w:rsidR="00553D90" w:rsidRDefault="006B56B7" w:rsidP="008316C1">
      <w:pPr>
        <w:shd w:val="clear" w:color="auto" w:fill="FFFFFF"/>
        <w:spacing w:line="276" w:lineRule="auto"/>
        <w:rPr>
          <w:rFonts w:ascii="Arial" w:hAnsi="Arial" w:cs="Arial"/>
        </w:rPr>
      </w:pPr>
      <w:r w:rsidRPr="006B56B7">
        <w:rPr>
          <w:rFonts w:ascii="Arial" w:hAnsi="Arial" w:cs="Arial"/>
        </w:rPr>
        <w:t xml:space="preserve">Use the form to tell us: </w:t>
      </w:r>
    </w:p>
    <w:p w14:paraId="3FF26C0B" w14:textId="77777777" w:rsidR="005C0C25" w:rsidRDefault="005C0C25" w:rsidP="008316C1">
      <w:pPr>
        <w:shd w:val="clear" w:color="auto" w:fill="FFFFFF"/>
        <w:spacing w:line="276" w:lineRule="auto"/>
        <w:rPr>
          <w:rFonts w:ascii="Arial" w:hAnsi="Arial" w:cs="Arial"/>
        </w:rPr>
      </w:pPr>
    </w:p>
    <w:p w14:paraId="5625185F" w14:textId="0227F58E" w:rsidR="006B56B7" w:rsidRPr="00553D90" w:rsidRDefault="006B56B7" w:rsidP="00553D90">
      <w:pPr>
        <w:pStyle w:val="ListParagraph"/>
        <w:numPr>
          <w:ilvl w:val="0"/>
          <w:numId w:val="28"/>
        </w:numPr>
        <w:shd w:val="clear" w:color="auto" w:fill="FFFFFF"/>
        <w:spacing w:line="276" w:lineRule="auto"/>
        <w:rPr>
          <w:rFonts w:cs="Arial"/>
        </w:rPr>
      </w:pPr>
      <w:r w:rsidRPr="00553D90">
        <w:rPr>
          <w:rFonts w:ascii="Arial" w:hAnsi="Arial" w:cs="Arial"/>
          <w:b/>
          <w:bCs/>
        </w:rPr>
        <w:t>What are the</w:t>
      </w:r>
      <w:r w:rsidRPr="00553D90">
        <w:rPr>
          <w:rFonts w:ascii="Arial" w:hAnsi="Arial" w:cs="Arial"/>
        </w:rPr>
        <w:t xml:space="preserve"> </w:t>
      </w:r>
      <w:r w:rsidRPr="00553D90">
        <w:rPr>
          <w:rFonts w:ascii="Arial" w:hAnsi="Arial" w:cs="Arial"/>
          <w:b/>
          <w:bCs/>
        </w:rPr>
        <w:t>key areas for quality improvement</w:t>
      </w:r>
      <w:r w:rsidRPr="00553D90">
        <w:rPr>
          <w:rFonts w:ascii="Arial" w:hAnsi="Arial" w:cs="Arial"/>
        </w:rPr>
        <w:t xml:space="preserve"> that you would want to see covered by this quality standard? </w:t>
      </w:r>
      <w:r w:rsidRPr="00553D90">
        <w:rPr>
          <w:rFonts w:ascii="Arial" w:hAnsi="Arial" w:cs="Arial"/>
          <w:b/>
          <w:bCs/>
        </w:rPr>
        <w:t>Please prioritise up to 5 areas</w:t>
      </w:r>
      <w:r w:rsidRPr="00553D90">
        <w:rPr>
          <w:rFonts w:ascii="Arial" w:hAnsi="Arial" w:cs="Arial"/>
        </w:rPr>
        <w:t xml:space="preserve"> which you consider as having the greatest potential to improve the quality of care. Please state the specific aspects of care or service delivery that should be addressed, including the actions that you feel would most improve quality. Note that all actions or interventions to improve quality within the quality standard must be based on recommendations from a NICE or </w:t>
      </w:r>
      <w:r w:rsidR="00F92D51">
        <w:rPr>
          <w:rFonts w:ascii="Arial" w:hAnsi="Arial" w:cs="Arial"/>
        </w:rPr>
        <w:t>high-quality external guidance</w:t>
      </w:r>
      <w:r w:rsidRPr="00553D90">
        <w:rPr>
          <w:rFonts w:ascii="Arial" w:hAnsi="Arial" w:cs="Arial"/>
        </w:rPr>
        <w:t>.</w:t>
      </w:r>
      <w:r w:rsidR="00FC4526" w:rsidRPr="00FC4526">
        <w:rPr>
          <w:rFonts w:ascii="Arial" w:hAnsi="Arial" w:cs="Arial"/>
        </w:rPr>
        <w:t xml:space="preserve"> Please see the </w:t>
      </w:r>
      <w:hyperlink r:id="rId11" w:history="1">
        <w:r w:rsidR="00FC4526" w:rsidRPr="00FC4526">
          <w:rPr>
            <w:rStyle w:val="Hyperlink"/>
            <w:rFonts w:ascii="Arial" w:hAnsi="Arial" w:cs="Arial"/>
          </w:rPr>
          <w:t>final scope</w:t>
        </w:r>
      </w:hyperlink>
      <w:r w:rsidR="00FC4526" w:rsidRPr="00FC4526">
        <w:rPr>
          <w:rFonts w:ascii="Arial" w:hAnsi="Arial" w:cs="Arial"/>
        </w:rPr>
        <w:t xml:space="preserve"> for the guideline update for information on what that may cover.</w:t>
      </w:r>
    </w:p>
    <w:p w14:paraId="06AC9070" w14:textId="212654EA" w:rsidR="006B56B7" w:rsidRDefault="006B56B7" w:rsidP="006B56B7">
      <w:pPr>
        <w:pStyle w:val="Heading1"/>
        <w:rPr>
          <w:rFonts w:cs="Arial"/>
        </w:rPr>
      </w:pPr>
    </w:p>
    <w:p w14:paraId="56946BA0" w14:textId="77777777" w:rsidR="00027A9C" w:rsidRPr="00027A9C" w:rsidRDefault="00027A9C" w:rsidP="00027A9C">
      <w:pPr>
        <w:pStyle w:val="Paragraphnonumbers"/>
      </w:pPr>
    </w:p>
    <w:p w14:paraId="15F52FF6" w14:textId="2AF15091" w:rsidR="006B56B7" w:rsidRPr="006B56B7" w:rsidRDefault="00572C22" w:rsidP="006B56B7">
      <w:pPr>
        <w:pStyle w:val="Heading1"/>
        <w:rPr>
          <w:rFonts w:cs="Arial"/>
        </w:rPr>
      </w:pPr>
      <w:r w:rsidRPr="005F370B">
        <w:rPr>
          <w:rFonts w:cs="Arial"/>
        </w:rPr>
        <w:lastRenderedPageBreak/>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6981"/>
        <w:gridCol w:w="6967"/>
      </w:tblGrid>
      <w:tr w:rsidR="00572C22" w:rsidRPr="005F370B" w14:paraId="6063926B" w14:textId="63A1DDEB" w:rsidTr="00B852BD">
        <w:tc>
          <w:tcPr>
            <w:tcW w:w="6981" w:type="dxa"/>
          </w:tcPr>
          <w:p w14:paraId="5B0540FE" w14:textId="77777777" w:rsidR="00572C22" w:rsidRPr="005F370B" w:rsidRDefault="00572C22" w:rsidP="008316C1">
            <w:pPr>
              <w:pStyle w:val="Paragraphnonumbers"/>
              <w:spacing w:after="120"/>
              <w:rPr>
                <w:rFonts w:cs="Arial"/>
                <w:b/>
              </w:rPr>
            </w:pPr>
            <w:r w:rsidRPr="005F370B">
              <w:rPr>
                <w:rFonts w:cs="Arial"/>
                <w:b/>
              </w:rPr>
              <w:t>Organisation name – Stakeholder or respondent</w:t>
            </w:r>
          </w:p>
          <w:p w14:paraId="739B2D1B" w14:textId="77777777" w:rsidR="00572C22" w:rsidRPr="005F370B" w:rsidRDefault="00572C22" w:rsidP="008316C1">
            <w:pPr>
              <w:pStyle w:val="Paragraphnonumbers"/>
              <w:spacing w:after="120"/>
              <w:rPr>
                <w:rFonts w:cs="Arial"/>
              </w:rPr>
            </w:pPr>
            <w:r w:rsidRPr="005F370B">
              <w:rPr>
                <w:rFonts w:cs="Arial"/>
              </w:rPr>
              <w:t>(if you are responding as an individual rather than a registered stakeholder please leave blank)</w:t>
            </w:r>
          </w:p>
        </w:tc>
        <w:tc>
          <w:tcPr>
            <w:tcW w:w="6967" w:type="dxa"/>
          </w:tcPr>
          <w:p w14:paraId="53CB6C58" w14:textId="5265085F" w:rsidR="00572C22" w:rsidRPr="007F14A3" w:rsidRDefault="007F14A3" w:rsidP="00153AD9">
            <w:pPr>
              <w:pStyle w:val="Paragraphnonumbers"/>
              <w:spacing w:after="120"/>
              <w:rPr>
                <w:rFonts w:cs="Arial"/>
                <w:bCs/>
              </w:rPr>
            </w:pPr>
            <w:r>
              <w:rPr>
                <w:rFonts w:cs="Arial"/>
                <w:bCs/>
              </w:rPr>
              <w:t xml:space="preserve">Royal College of General Practitioners </w:t>
            </w:r>
          </w:p>
        </w:tc>
      </w:tr>
      <w:tr w:rsidR="00572C22" w:rsidRPr="005F370B" w14:paraId="4DC269FE" w14:textId="3E083BFE" w:rsidTr="00B852BD">
        <w:tc>
          <w:tcPr>
            <w:tcW w:w="6981" w:type="dxa"/>
          </w:tcPr>
          <w:p w14:paraId="66F4FE04" w14:textId="77777777" w:rsidR="00572C22" w:rsidRPr="005F370B" w:rsidRDefault="00572C22" w:rsidP="008316C1">
            <w:pPr>
              <w:pStyle w:val="Paragraphnonumbers"/>
              <w:spacing w:after="120"/>
              <w:rPr>
                <w:rFonts w:cs="Arial"/>
                <w:b/>
              </w:rPr>
            </w:pPr>
            <w:r w:rsidRPr="005F370B">
              <w:rPr>
                <w:rFonts w:cs="Arial"/>
                <w:b/>
              </w:rPr>
              <w:t>Disclosure</w:t>
            </w:r>
          </w:p>
          <w:p w14:paraId="5FC1D5EA" w14:textId="77777777" w:rsidR="00572C22" w:rsidRPr="005F370B" w:rsidRDefault="00572C22" w:rsidP="008316C1">
            <w:pPr>
              <w:pStyle w:val="Paragraphnonumbers"/>
              <w:spacing w:after="120"/>
              <w:rPr>
                <w:rFonts w:cs="Arial"/>
              </w:rPr>
            </w:pPr>
            <w:r w:rsidRPr="005F370B">
              <w:rPr>
                <w:rFonts w:cs="Arial"/>
              </w:rPr>
              <w:t>Please disclose any past or current, direct or indirect links to, or funding from, the tobacco industry.</w:t>
            </w:r>
          </w:p>
        </w:tc>
        <w:tc>
          <w:tcPr>
            <w:tcW w:w="6967" w:type="dxa"/>
          </w:tcPr>
          <w:p w14:paraId="5CF258D0" w14:textId="010ABBE0" w:rsidR="00572C22" w:rsidRPr="007F14A3" w:rsidRDefault="007F14A3" w:rsidP="00153AD9">
            <w:pPr>
              <w:pStyle w:val="Paragraphnonumbers"/>
              <w:spacing w:after="120"/>
              <w:rPr>
                <w:rFonts w:cs="Arial"/>
                <w:bCs/>
              </w:rPr>
            </w:pPr>
            <w:r w:rsidRPr="007F14A3">
              <w:rPr>
                <w:rFonts w:cs="Arial"/>
                <w:bCs/>
              </w:rPr>
              <w:t>None</w:t>
            </w:r>
          </w:p>
        </w:tc>
      </w:tr>
      <w:tr w:rsidR="00572C22" w:rsidRPr="005F370B" w14:paraId="4C5969B3" w14:textId="5845FFB9" w:rsidTr="00B852BD">
        <w:tc>
          <w:tcPr>
            <w:tcW w:w="6981" w:type="dxa"/>
          </w:tcPr>
          <w:p w14:paraId="36691F86" w14:textId="77777777" w:rsidR="00572C22" w:rsidRPr="005F370B" w:rsidRDefault="00572C22" w:rsidP="008316C1">
            <w:pPr>
              <w:pStyle w:val="Paragraphnonumbers"/>
              <w:spacing w:after="120"/>
              <w:rPr>
                <w:rFonts w:cs="Arial"/>
                <w:b/>
              </w:rPr>
            </w:pPr>
            <w:r w:rsidRPr="005F370B">
              <w:rPr>
                <w:rFonts w:cs="Arial"/>
                <w:b/>
              </w:rPr>
              <w:t>Name of person completing form</w:t>
            </w:r>
          </w:p>
        </w:tc>
        <w:tc>
          <w:tcPr>
            <w:tcW w:w="6967" w:type="dxa"/>
          </w:tcPr>
          <w:p w14:paraId="10704615" w14:textId="09EF34F9" w:rsidR="00572C22" w:rsidRPr="007F14A3" w:rsidRDefault="007F14A3" w:rsidP="00153AD9">
            <w:pPr>
              <w:pStyle w:val="Paragraphnonumbers"/>
              <w:spacing w:after="120"/>
              <w:rPr>
                <w:rFonts w:cs="Arial"/>
                <w:bCs/>
              </w:rPr>
            </w:pPr>
            <w:r>
              <w:rPr>
                <w:rFonts w:cs="Arial"/>
                <w:bCs/>
              </w:rPr>
              <w:t xml:space="preserve">Michael Mulholland/ Adrian Hayter </w:t>
            </w:r>
          </w:p>
        </w:tc>
      </w:tr>
      <w:tr w:rsidR="00572C22" w:rsidRPr="005F370B" w14:paraId="192E73E8" w14:textId="3E3D605B" w:rsidTr="00B852BD">
        <w:tc>
          <w:tcPr>
            <w:tcW w:w="6981" w:type="dxa"/>
          </w:tcPr>
          <w:p w14:paraId="1D38CB93" w14:textId="77777777" w:rsidR="00572C22" w:rsidRPr="005F370B" w:rsidRDefault="00572C22" w:rsidP="008316C1">
            <w:pPr>
              <w:pStyle w:val="Paragraphnonumbers"/>
              <w:rPr>
                <w:rFonts w:cs="Arial"/>
                <w:b/>
              </w:rPr>
            </w:pPr>
            <w:r w:rsidRPr="005F370B">
              <w:rPr>
                <w:rFonts w:cs="Arial"/>
                <w:b/>
              </w:rPr>
              <w:t>Supporting the quality standard</w:t>
            </w:r>
          </w:p>
          <w:p w14:paraId="26E68E2F" w14:textId="77777777" w:rsidR="00572C22" w:rsidRPr="005F370B" w:rsidRDefault="00572C22" w:rsidP="008316C1">
            <w:pPr>
              <w:pStyle w:val="Paragraphnonumbers"/>
              <w:spacing w:after="120"/>
              <w:rPr>
                <w:rFonts w:cs="Arial"/>
              </w:rPr>
            </w:pPr>
            <w:r w:rsidRPr="005F370B">
              <w:rPr>
                <w:rFonts w:cs="Arial"/>
              </w:rPr>
              <w:t xml:space="preserve">Would your organisation like to express an interest in formally supporting this quality standard? </w:t>
            </w:r>
            <w:hyperlink r:id="rId12" w:history="1">
              <w:r w:rsidRPr="005F370B">
                <w:rPr>
                  <w:rStyle w:val="Hyperlink"/>
                  <w:rFonts w:cs="Arial"/>
                </w:rPr>
                <w:t>More information.</w:t>
              </w:r>
            </w:hyperlink>
          </w:p>
        </w:tc>
        <w:tc>
          <w:tcPr>
            <w:tcW w:w="6967" w:type="dxa"/>
          </w:tcPr>
          <w:p w14:paraId="53A65CE6" w14:textId="09A88504" w:rsidR="00572C22" w:rsidRPr="007F14A3" w:rsidRDefault="007F14A3" w:rsidP="00153AD9">
            <w:pPr>
              <w:pStyle w:val="Paragraphnonumbers"/>
              <w:rPr>
                <w:rFonts w:cs="Arial"/>
                <w:bCs/>
              </w:rPr>
            </w:pPr>
            <w:r>
              <w:rPr>
                <w:rFonts w:cs="Arial"/>
                <w:bCs/>
              </w:rPr>
              <w:t>No</w:t>
            </w:r>
          </w:p>
        </w:tc>
      </w:tr>
    </w:tbl>
    <w:p w14:paraId="571537EB" w14:textId="35C2CEAE" w:rsidR="005C0C25" w:rsidRDefault="005C0C25" w:rsidP="00B852BD">
      <w:pPr>
        <w:keepNext/>
        <w:spacing w:after="120"/>
        <w:outlineLvl w:val="0"/>
        <w:rPr>
          <w:rFonts w:ascii="Arial" w:hAnsi="Arial"/>
          <w:b/>
          <w:bCs/>
          <w:kern w:val="32"/>
          <w:sz w:val="28"/>
          <w:szCs w:val="32"/>
        </w:rPr>
      </w:pPr>
    </w:p>
    <w:p w14:paraId="0D7FAADA" w14:textId="77777777" w:rsidR="005C0C25" w:rsidRDefault="005C0C25">
      <w:pPr>
        <w:rPr>
          <w:rFonts w:ascii="Arial" w:hAnsi="Arial"/>
          <w:b/>
          <w:bCs/>
          <w:kern w:val="32"/>
          <w:sz w:val="28"/>
          <w:szCs w:val="32"/>
        </w:rPr>
      </w:pPr>
      <w:r>
        <w:rPr>
          <w:rFonts w:ascii="Arial" w:hAnsi="Arial"/>
          <w:b/>
          <w:bCs/>
          <w:kern w:val="32"/>
          <w:sz w:val="28"/>
          <w:szCs w:val="32"/>
        </w:rPr>
        <w:br w:type="page"/>
      </w:r>
    </w:p>
    <w:p w14:paraId="256884FE" w14:textId="77777777" w:rsidR="00B852BD" w:rsidRDefault="00B852BD" w:rsidP="00B852BD">
      <w:pPr>
        <w:keepNext/>
        <w:spacing w:after="120"/>
        <w:outlineLvl w:val="0"/>
        <w:rPr>
          <w:rFonts w:ascii="Arial" w:hAnsi="Arial"/>
          <w:b/>
          <w:bCs/>
          <w:kern w:val="32"/>
          <w:sz w:val="28"/>
          <w:szCs w:val="32"/>
        </w:rPr>
      </w:pPr>
    </w:p>
    <w:p w14:paraId="24382914" w14:textId="2EE2BFA0" w:rsidR="00572C22" w:rsidRDefault="00526BF3" w:rsidP="00572C22">
      <w:pPr>
        <w:pStyle w:val="Heading1"/>
        <w:spacing w:before="240"/>
        <w:rPr>
          <w:rFonts w:cs="Arial"/>
        </w:rPr>
      </w:pPr>
      <w:r>
        <w:rPr>
          <w:rFonts w:cs="Arial"/>
        </w:rPr>
        <w:t>Q</w:t>
      </w:r>
      <w:r w:rsidR="00572C22" w:rsidRPr="005F370B">
        <w:rPr>
          <w:rFonts w:cs="Arial"/>
        </w:rPr>
        <w:t xml:space="preserve">uality improvement </w:t>
      </w:r>
      <w:r>
        <w:rPr>
          <w:rFonts w:cs="Arial"/>
        </w:rPr>
        <w:t>comments</w:t>
      </w:r>
      <w:r w:rsidR="00997730">
        <w:rPr>
          <w:rFonts w:cs="Arial"/>
        </w:rPr>
        <w:t xml:space="preserve"> </w:t>
      </w:r>
    </w:p>
    <w:p w14:paraId="6C3730EF" w14:textId="1C5D2CF3" w:rsidR="009D7D70" w:rsidRPr="009D7D70" w:rsidRDefault="009D7D70" w:rsidP="009D7D70">
      <w:pPr>
        <w:pStyle w:val="Paragraphnonumbers"/>
      </w:pPr>
      <w:r w:rsidRPr="005F370B">
        <w:rPr>
          <w:rFonts w:cs="Arial"/>
        </w:rPr>
        <w:t>Type directly into this table.</w:t>
      </w:r>
      <w:r>
        <w:rPr>
          <w:rFonts w:cs="Arial"/>
        </w:rPr>
        <w:t xml:space="preserve"> </w:t>
      </w:r>
      <w:r w:rsidRPr="005F370B">
        <w:rPr>
          <w:rFonts w:cs="Arial"/>
        </w:rPr>
        <w:t>Don’t paste other tables into this table as your comments could get lost.</w:t>
      </w:r>
    </w:p>
    <w:tbl>
      <w:tblPr>
        <w:tblStyle w:val="TableGrid"/>
        <w:tblW w:w="0" w:type="auto"/>
        <w:tblLayout w:type="fixed"/>
        <w:tblLook w:val="0420" w:firstRow="1" w:lastRow="0" w:firstColumn="0" w:lastColumn="0" w:noHBand="0" w:noVBand="1"/>
      </w:tblPr>
      <w:tblGrid>
        <w:gridCol w:w="3681"/>
        <w:gridCol w:w="4111"/>
        <w:gridCol w:w="3543"/>
        <w:gridCol w:w="2552"/>
      </w:tblGrid>
      <w:tr w:rsidR="005D2F60" w:rsidRPr="005F370B" w14:paraId="505FCF57" w14:textId="77777777" w:rsidTr="65884864">
        <w:tc>
          <w:tcPr>
            <w:tcW w:w="3681" w:type="dxa"/>
            <w:tcBorders>
              <w:bottom w:val="nil"/>
            </w:tcBorders>
          </w:tcPr>
          <w:p w14:paraId="128EC572" w14:textId="77777777" w:rsidR="005D2F60" w:rsidRPr="005F370B" w:rsidRDefault="005D2F60" w:rsidP="00BE74C8">
            <w:pPr>
              <w:pStyle w:val="Paragraphnonumbers"/>
              <w:spacing w:after="120"/>
              <w:rPr>
                <w:rFonts w:cs="Arial"/>
                <w:b/>
              </w:rPr>
            </w:pPr>
            <w:r w:rsidRPr="005F370B">
              <w:rPr>
                <w:rFonts w:cs="Arial"/>
                <w:b/>
              </w:rPr>
              <w:t>Key area for quality improvement</w:t>
            </w:r>
          </w:p>
        </w:tc>
        <w:tc>
          <w:tcPr>
            <w:tcW w:w="4111" w:type="dxa"/>
            <w:tcBorders>
              <w:bottom w:val="nil"/>
            </w:tcBorders>
          </w:tcPr>
          <w:p w14:paraId="0A396C7A" w14:textId="77777777" w:rsidR="005D2F60" w:rsidRPr="000F0114" w:rsidRDefault="005D2F60" w:rsidP="00BE74C8">
            <w:pPr>
              <w:pStyle w:val="Paragraphnonumbers"/>
              <w:rPr>
                <w:rFonts w:cs="Arial"/>
                <w:b/>
              </w:rPr>
            </w:pPr>
            <w:r w:rsidRPr="005F370B">
              <w:rPr>
                <w:rFonts w:cs="Arial"/>
                <w:b/>
              </w:rPr>
              <w:t>Why is this a key area for quality improvement?</w:t>
            </w:r>
          </w:p>
        </w:tc>
        <w:tc>
          <w:tcPr>
            <w:tcW w:w="3543" w:type="dxa"/>
            <w:tcBorders>
              <w:bottom w:val="nil"/>
            </w:tcBorders>
          </w:tcPr>
          <w:p w14:paraId="5803316D" w14:textId="77777777" w:rsidR="005D2F60" w:rsidRPr="005F370B" w:rsidRDefault="005D2F60" w:rsidP="00BE74C8">
            <w:pPr>
              <w:pStyle w:val="Paragraphnonumbers"/>
              <w:rPr>
                <w:rFonts w:cs="Arial"/>
                <w:b/>
              </w:rPr>
            </w:pPr>
            <w:r>
              <w:rPr>
                <w:rFonts w:cs="Arial"/>
                <w:b/>
              </w:rPr>
              <w:t>Data sources</w:t>
            </w:r>
          </w:p>
        </w:tc>
        <w:tc>
          <w:tcPr>
            <w:tcW w:w="2552" w:type="dxa"/>
            <w:tcBorders>
              <w:bottom w:val="nil"/>
            </w:tcBorders>
          </w:tcPr>
          <w:p w14:paraId="0D8C09C7" w14:textId="77777777" w:rsidR="005D2F60" w:rsidRPr="000F0114" w:rsidRDefault="005D2F60" w:rsidP="00BE74C8">
            <w:pPr>
              <w:pStyle w:val="Paragraphnonumbers"/>
              <w:rPr>
                <w:rFonts w:cs="Arial"/>
                <w:b/>
              </w:rPr>
            </w:pPr>
            <w:r w:rsidRPr="005F370B">
              <w:rPr>
                <w:rFonts w:cs="Arial"/>
                <w:b/>
              </w:rPr>
              <w:t>Supporting information</w:t>
            </w:r>
          </w:p>
        </w:tc>
      </w:tr>
      <w:tr w:rsidR="005D2F60" w:rsidRPr="005F370B" w14:paraId="16EFCD6E" w14:textId="77777777" w:rsidTr="65884864">
        <w:tc>
          <w:tcPr>
            <w:tcW w:w="3681" w:type="dxa"/>
            <w:tcBorders>
              <w:top w:val="nil"/>
            </w:tcBorders>
          </w:tcPr>
          <w:p w14:paraId="06A2115A" w14:textId="77777777" w:rsidR="005D2F60" w:rsidRPr="005F370B" w:rsidRDefault="005D2F60" w:rsidP="00BE74C8">
            <w:pPr>
              <w:pStyle w:val="Paragraphnonumbers"/>
              <w:spacing w:after="120"/>
              <w:rPr>
                <w:rFonts w:cs="Arial"/>
                <w:b/>
              </w:rPr>
            </w:pPr>
            <w:r w:rsidRPr="005F370B">
              <w:rPr>
                <w:rFonts w:cs="Arial"/>
              </w:rPr>
              <w:t xml:space="preserve">Separately list each </w:t>
            </w:r>
            <w:r>
              <w:rPr>
                <w:rFonts w:cs="Arial"/>
              </w:rPr>
              <w:t xml:space="preserve">of the 5 </w:t>
            </w:r>
            <w:r w:rsidRPr="005F370B">
              <w:rPr>
                <w:rFonts w:cs="Arial"/>
              </w:rPr>
              <w:t>key area</w:t>
            </w:r>
            <w:r>
              <w:rPr>
                <w:rFonts w:cs="Arial"/>
              </w:rPr>
              <w:t>s</w:t>
            </w:r>
            <w:r w:rsidRPr="005F370B">
              <w:rPr>
                <w:rFonts w:cs="Arial"/>
              </w:rPr>
              <w:t xml:space="preserve"> for quality improvement that you would want to see covered by this quality standard</w:t>
            </w:r>
          </w:p>
        </w:tc>
        <w:tc>
          <w:tcPr>
            <w:tcW w:w="4111" w:type="dxa"/>
            <w:tcBorders>
              <w:top w:val="nil"/>
            </w:tcBorders>
          </w:tcPr>
          <w:p w14:paraId="12806DE2" w14:textId="7B669461" w:rsidR="005D2F60" w:rsidRPr="005F370B" w:rsidRDefault="005D2F60" w:rsidP="00BE74C8">
            <w:pPr>
              <w:pStyle w:val="Paragraphnonumbers"/>
              <w:rPr>
                <w:rFonts w:cs="Arial"/>
                <w:b/>
                <w:bCs/>
              </w:rPr>
            </w:pPr>
            <w:r w:rsidRPr="585B9BCD">
              <w:rPr>
                <w:rFonts w:cs="Arial"/>
              </w:rPr>
              <w:t>Evidence of information that care in the suggested key areas for quality improvement is poor or variable and requires improvement</w:t>
            </w:r>
            <w:r w:rsidRPr="00981F24">
              <w:rPr>
                <w:rFonts w:cs="Arial"/>
              </w:rPr>
              <w:t>.</w:t>
            </w:r>
            <w:r w:rsidR="005F6ECF">
              <w:rPr>
                <w:rFonts w:cs="Arial"/>
              </w:rPr>
              <w:t xml:space="preserve"> Please include any evidence of inequalities and health inequalities in the suggested key areas for quality improvement.</w:t>
            </w:r>
          </w:p>
        </w:tc>
        <w:tc>
          <w:tcPr>
            <w:tcW w:w="3543" w:type="dxa"/>
            <w:tcBorders>
              <w:top w:val="nil"/>
            </w:tcBorders>
          </w:tcPr>
          <w:p w14:paraId="640435D1" w14:textId="77777777" w:rsidR="005D2F60" w:rsidRDefault="005D2F60" w:rsidP="00BE74C8">
            <w:pPr>
              <w:pStyle w:val="Paragraphnonumbers"/>
              <w:rPr>
                <w:rFonts w:cs="Arial"/>
              </w:rPr>
            </w:pPr>
            <w:r>
              <w:rPr>
                <w:rFonts w:cs="Arial"/>
              </w:rPr>
              <w:t xml:space="preserve">As the quality statements must be measurable, please include any information on available data sources. </w:t>
            </w:r>
          </w:p>
          <w:p w14:paraId="10916E0B" w14:textId="77777777" w:rsidR="005D2F60" w:rsidRDefault="005D2F60" w:rsidP="005D2F60">
            <w:pPr>
              <w:pStyle w:val="Paragraphnonumbers"/>
              <w:spacing w:after="120"/>
              <w:rPr>
                <w:rFonts w:cs="Arial"/>
              </w:rPr>
            </w:pPr>
            <w:r>
              <w:rPr>
                <w:rFonts w:cs="Arial"/>
              </w:rPr>
              <w:t xml:space="preserve">Information can include: </w:t>
            </w:r>
          </w:p>
          <w:p w14:paraId="36374AAD" w14:textId="77777777" w:rsidR="005D2F60" w:rsidRDefault="005D2F60" w:rsidP="005D2F60">
            <w:pPr>
              <w:pStyle w:val="Paragraphnonumbers"/>
              <w:numPr>
                <w:ilvl w:val="0"/>
                <w:numId w:val="23"/>
              </w:numPr>
              <w:spacing w:after="120"/>
              <w:rPr>
                <w:rFonts w:cs="Arial"/>
              </w:rPr>
            </w:pPr>
            <w:r>
              <w:rPr>
                <w:rFonts w:cs="Arial"/>
              </w:rPr>
              <w:t>N</w:t>
            </w:r>
            <w:r w:rsidRPr="005F370B">
              <w:rPr>
                <w:rFonts w:cs="Arial"/>
              </w:rPr>
              <w:t>ational data sources that collect data relating to your suggested key areas for quality improvement</w:t>
            </w:r>
          </w:p>
          <w:p w14:paraId="0238AEE9" w14:textId="77777777" w:rsidR="005D2F60" w:rsidRDefault="005D2F60" w:rsidP="005D2F60">
            <w:pPr>
              <w:pStyle w:val="Paragraphnonumbers"/>
              <w:numPr>
                <w:ilvl w:val="0"/>
                <w:numId w:val="23"/>
              </w:numPr>
              <w:spacing w:after="120"/>
              <w:rPr>
                <w:rFonts w:cs="Arial"/>
              </w:rPr>
            </w:pPr>
            <w:r>
              <w:rPr>
                <w:rFonts w:cs="Arial"/>
              </w:rPr>
              <w:t xml:space="preserve">National audits </w:t>
            </w:r>
          </w:p>
          <w:p w14:paraId="539ACEE0" w14:textId="77777777" w:rsidR="005D2F60" w:rsidRDefault="005D2F60" w:rsidP="00BE74C8">
            <w:pPr>
              <w:pStyle w:val="Paragraphnonumbers"/>
              <w:numPr>
                <w:ilvl w:val="0"/>
                <w:numId w:val="23"/>
              </w:numPr>
              <w:rPr>
                <w:rFonts w:cs="Arial"/>
              </w:rPr>
            </w:pPr>
            <w:r>
              <w:rPr>
                <w:rFonts w:cs="Arial"/>
              </w:rPr>
              <w:t xml:space="preserve">Other data sources </w:t>
            </w:r>
          </w:p>
        </w:tc>
        <w:tc>
          <w:tcPr>
            <w:tcW w:w="2552" w:type="dxa"/>
            <w:tcBorders>
              <w:top w:val="nil"/>
            </w:tcBorders>
          </w:tcPr>
          <w:p w14:paraId="7FE01EDE" w14:textId="7B7FA171" w:rsidR="005D2F60" w:rsidRPr="00317E46" w:rsidRDefault="005D2F60" w:rsidP="005D2F60">
            <w:pPr>
              <w:pStyle w:val="Paragraphnonumbers"/>
              <w:rPr>
                <w:rFonts w:cs="Arial"/>
              </w:rPr>
            </w:pPr>
            <w:r>
              <w:rPr>
                <w:rFonts w:cs="Arial"/>
              </w:rPr>
              <w:t>Information can include s</w:t>
            </w:r>
            <w:r w:rsidRPr="585B9BCD">
              <w:rPr>
                <w:rFonts w:cs="Arial"/>
              </w:rPr>
              <w:t xml:space="preserve">ections or recommendations in a NICE / </w:t>
            </w:r>
            <w:r w:rsidR="00F92D51">
              <w:rPr>
                <w:rFonts w:cs="Arial"/>
              </w:rPr>
              <w:t>high-quality external guidance</w:t>
            </w:r>
            <w:r w:rsidRPr="585B9BCD">
              <w:rPr>
                <w:rFonts w:cs="Arial"/>
              </w:rPr>
              <w:t xml:space="preserve"> relating to the key areas for quality improvement</w:t>
            </w:r>
          </w:p>
          <w:p w14:paraId="540D2275" w14:textId="089C90B3" w:rsidR="005D2F60" w:rsidRPr="005F370B" w:rsidRDefault="005D2F60" w:rsidP="00BE74C8">
            <w:pPr>
              <w:pStyle w:val="Paragraphnonumbers"/>
              <w:rPr>
                <w:rFonts w:cs="Arial"/>
                <w:b/>
              </w:rPr>
            </w:pPr>
          </w:p>
        </w:tc>
      </w:tr>
      <w:tr w:rsidR="0030621E" w:rsidRPr="005F370B" w14:paraId="0CC04AF7" w14:textId="77777777" w:rsidTr="65884864">
        <w:trPr>
          <w:cantSplit/>
        </w:trPr>
        <w:tc>
          <w:tcPr>
            <w:tcW w:w="3681" w:type="dxa"/>
            <w:shd w:val="clear" w:color="auto" w:fill="auto"/>
          </w:tcPr>
          <w:p w14:paraId="51C5BC7A" w14:textId="77777777" w:rsidR="0030621E" w:rsidRDefault="0030621E" w:rsidP="005D2F60">
            <w:pPr>
              <w:pStyle w:val="TableText1"/>
              <w:spacing w:line="276" w:lineRule="auto"/>
              <w:rPr>
                <w:rFonts w:cs="Arial"/>
                <w:b/>
                <w:sz w:val="24"/>
              </w:rPr>
            </w:pPr>
            <w:r>
              <w:rPr>
                <w:rFonts w:cs="Arial"/>
                <w:b/>
                <w:sz w:val="24"/>
              </w:rPr>
              <w:lastRenderedPageBreak/>
              <w:t>Example:</w:t>
            </w:r>
          </w:p>
          <w:p w14:paraId="30CF1B56" w14:textId="3D0B95F5" w:rsidR="0030621E" w:rsidRPr="0030621E" w:rsidRDefault="0030621E" w:rsidP="005D2F60">
            <w:pPr>
              <w:pStyle w:val="TableText1"/>
              <w:spacing w:line="276" w:lineRule="auto"/>
              <w:rPr>
                <w:rFonts w:cs="Arial"/>
                <w:bCs/>
                <w:sz w:val="24"/>
              </w:rPr>
            </w:pPr>
            <w:r>
              <w:rPr>
                <w:rFonts w:cs="Arial"/>
                <w:bCs/>
                <w:sz w:val="24"/>
              </w:rPr>
              <w:t>Older adults presenting to emergency care acutely unwell should be rapidly and comprehensively assessed for the presence of serious underlying infections by clinicians with expertise in assessment of acute frailty</w:t>
            </w:r>
          </w:p>
        </w:tc>
        <w:tc>
          <w:tcPr>
            <w:tcW w:w="4111" w:type="dxa"/>
            <w:shd w:val="clear" w:color="auto" w:fill="auto"/>
          </w:tcPr>
          <w:p w14:paraId="4A5BC12E" w14:textId="4D79756B" w:rsidR="0030621E" w:rsidRPr="0030621E" w:rsidRDefault="0030621E" w:rsidP="0030621E">
            <w:pPr>
              <w:pStyle w:val="Paragraphnonumbers"/>
              <w:rPr>
                <w:rFonts w:cs="Arial"/>
                <w:bCs/>
              </w:rPr>
            </w:pPr>
            <w:r w:rsidRPr="0030621E">
              <w:rPr>
                <w:rFonts w:cs="Arial"/>
                <w:b/>
              </w:rPr>
              <w:t>Example:</w:t>
            </w:r>
            <w:r w:rsidRPr="0030621E">
              <w:rPr>
                <w:rFonts w:cs="Arial"/>
                <w:bCs/>
              </w:rPr>
              <w:t xml:space="preserve"> Older adults with frailty often do not present with typical symptoms of bacterial meningitis or sepsis which </w:t>
            </w:r>
            <w:r>
              <w:rPr>
                <w:rFonts w:cs="Arial"/>
                <w:bCs/>
              </w:rPr>
              <w:t>are</w:t>
            </w:r>
            <w:r w:rsidRPr="0030621E">
              <w:rPr>
                <w:rFonts w:cs="Arial"/>
                <w:bCs/>
              </w:rPr>
              <w:t xml:space="preserve"> easily missed or mistaken for other problems leading to missed diagnosis and delayed treatment with poor outcomes including long lengths of hospital stay. </w:t>
            </w:r>
          </w:p>
          <w:p w14:paraId="14589021" w14:textId="67AE1D4E" w:rsidR="0030621E" w:rsidRPr="0030621E" w:rsidRDefault="0030621E" w:rsidP="0030621E">
            <w:pPr>
              <w:pStyle w:val="Paragraphnonumbers"/>
              <w:rPr>
                <w:rFonts w:cs="Arial"/>
                <w:bCs/>
              </w:rPr>
            </w:pPr>
            <w:r w:rsidRPr="0030621E">
              <w:rPr>
                <w:rFonts w:cs="Arial"/>
                <w:bCs/>
              </w:rPr>
              <w:t xml:space="preserve">GIRFT identified variation in frailty identification and assessment with many older patients who arrive through the emergency pathway not having an initial assessment. Where patients are not assessed, it’s less likely there will be an effective early response because patients may be assessed by staff in A&amp;E or other medical or surgical specialties where frailty assessment is not embedded in pathways and practice.  </w:t>
            </w:r>
          </w:p>
        </w:tc>
        <w:tc>
          <w:tcPr>
            <w:tcW w:w="3543" w:type="dxa"/>
          </w:tcPr>
          <w:p w14:paraId="249E0C52" w14:textId="385E0429" w:rsidR="0030621E" w:rsidRPr="0030621E" w:rsidRDefault="0030621E" w:rsidP="005D2F60">
            <w:pPr>
              <w:pStyle w:val="Paragraphnonumbers"/>
              <w:rPr>
                <w:rFonts w:cs="Arial"/>
                <w:bCs/>
              </w:rPr>
            </w:pPr>
            <w:r w:rsidRPr="0030621E">
              <w:rPr>
                <w:rFonts w:cs="Arial"/>
                <w:b/>
              </w:rPr>
              <w:t>Example:</w:t>
            </w:r>
            <w:r>
              <w:rPr>
                <w:rFonts w:cs="Arial"/>
                <w:bCs/>
              </w:rPr>
              <w:t xml:space="preserve"> </w:t>
            </w:r>
            <w:r w:rsidRPr="0030621E">
              <w:rPr>
                <w:rFonts w:cs="Arial"/>
                <w:bCs/>
              </w:rPr>
              <w:t>NHS England CQUIN05 specifies rapid identification of frailty in emergency care settings followed by initiation of comprehensive geriatric assessment</w:t>
            </w:r>
            <w:r>
              <w:rPr>
                <w:rFonts w:cs="Arial"/>
                <w:bCs/>
              </w:rPr>
              <w:t>.</w:t>
            </w:r>
          </w:p>
        </w:tc>
        <w:tc>
          <w:tcPr>
            <w:tcW w:w="2552" w:type="dxa"/>
            <w:shd w:val="clear" w:color="auto" w:fill="auto"/>
          </w:tcPr>
          <w:p w14:paraId="3DD3ED0D" w14:textId="31F26FE2" w:rsidR="0030621E" w:rsidRPr="0030621E" w:rsidRDefault="0030621E" w:rsidP="0030621E">
            <w:pPr>
              <w:pStyle w:val="Paragraphnonumbers"/>
              <w:rPr>
                <w:rFonts w:cs="Arial"/>
              </w:rPr>
            </w:pPr>
            <w:r w:rsidRPr="0030621E">
              <w:rPr>
                <w:rFonts w:cs="Arial"/>
                <w:b/>
                <w:bCs/>
              </w:rPr>
              <w:t>Example:</w:t>
            </w:r>
            <w:r>
              <w:rPr>
                <w:rFonts w:cs="Arial"/>
              </w:rPr>
              <w:t xml:space="preserve"> </w:t>
            </w:r>
            <w:r w:rsidRPr="0030621E">
              <w:rPr>
                <w:rFonts w:cs="Arial"/>
              </w:rPr>
              <w:t xml:space="preserve">There is considerable variability in clinical findings among older adults presenting with bacterial meningitis. Febrile responses are often blunted or absent and pyrexia is not a universal finding varying between 59% and 100% in published studies. Similarly, headache and neck stiffness have been noted in only 50% of older adults with meningitis and may be misinterpreted due to co-morbidity such as cervical spondyloarthropathy.  </w:t>
            </w:r>
          </w:p>
          <w:p w14:paraId="5E4B6075" w14:textId="0639E0B2" w:rsidR="0030621E" w:rsidRPr="0030621E" w:rsidRDefault="0030621E" w:rsidP="0030621E">
            <w:pPr>
              <w:pStyle w:val="Paragraphnonumbers"/>
              <w:rPr>
                <w:rFonts w:cs="Arial"/>
              </w:rPr>
            </w:pPr>
            <w:r w:rsidRPr="0030621E">
              <w:rPr>
                <w:rFonts w:cs="Arial"/>
              </w:rPr>
              <w:t>https://academic.oup.com/cid/article/33/8/1380/347483</w:t>
            </w:r>
          </w:p>
        </w:tc>
      </w:tr>
      <w:tr w:rsidR="005D2F60" w:rsidRPr="005F370B" w14:paraId="46BB4253" w14:textId="77777777" w:rsidTr="65884864">
        <w:tc>
          <w:tcPr>
            <w:tcW w:w="3681" w:type="dxa"/>
          </w:tcPr>
          <w:p w14:paraId="399519CC" w14:textId="7ED10D5A" w:rsidR="005D2F60" w:rsidRPr="005F370B" w:rsidRDefault="3FADBBDC" w:rsidP="3FADBBDC">
            <w:pPr>
              <w:pStyle w:val="Paragraphnonumbers"/>
              <w:spacing w:after="120"/>
              <w:rPr>
                <w:rFonts w:cs="Arial"/>
              </w:rPr>
            </w:pPr>
            <w:r w:rsidRPr="3FADBBDC">
              <w:rPr>
                <w:rFonts w:cs="Arial"/>
              </w:rPr>
              <w:lastRenderedPageBreak/>
              <w:t>Key area for quality improvement 1</w:t>
            </w:r>
          </w:p>
          <w:p w14:paraId="08D211EF" w14:textId="341B7ECA" w:rsidR="005D2F60" w:rsidRPr="005F370B" w:rsidRDefault="3FADBBDC" w:rsidP="00BE74C8">
            <w:pPr>
              <w:pStyle w:val="Paragraphnonumbers"/>
              <w:spacing w:after="120"/>
              <w:rPr>
                <w:rFonts w:cs="Arial"/>
              </w:rPr>
            </w:pPr>
            <w:r w:rsidRPr="70C8C9B3">
              <w:rPr>
                <w:rFonts w:cs="Arial"/>
              </w:rPr>
              <w:t xml:space="preserve">Early diagnosis in Primary Care through targeted identification of those who might be at risk of developing osteoporosis </w:t>
            </w:r>
            <w:r w:rsidR="3CC82FEF" w:rsidRPr="70C8C9B3">
              <w:rPr>
                <w:rFonts w:cs="Arial"/>
              </w:rPr>
              <w:t>considering</w:t>
            </w:r>
            <w:r w:rsidRPr="70C8C9B3">
              <w:rPr>
                <w:rFonts w:cs="Arial"/>
              </w:rPr>
              <w:t xml:space="preserve"> </w:t>
            </w:r>
            <w:r w:rsidR="606BB40C" w:rsidRPr="70C8C9B3">
              <w:rPr>
                <w:rFonts w:cs="Arial"/>
              </w:rPr>
              <w:t xml:space="preserve">a </w:t>
            </w:r>
            <w:r w:rsidRPr="70C8C9B3">
              <w:rPr>
                <w:rFonts w:cs="Arial"/>
              </w:rPr>
              <w:t>health equity</w:t>
            </w:r>
            <w:r w:rsidR="5C4B1EBA" w:rsidRPr="70C8C9B3">
              <w:rPr>
                <w:rFonts w:cs="Arial"/>
              </w:rPr>
              <w:t xml:space="preserve"> approach. </w:t>
            </w:r>
          </w:p>
        </w:tc>
        <w:tc>
          <w:tcPr>
            <w:tcW w:w="4111" w:type="dxa"/>
          </w:tcPr>
          <w:p w14:paraId="7050B8AE" w14:textId="69556259" w:rsidR="005D2F60" w:rsidRPr="005F370B" w:rsidRDefault="65884864" w:rsidP="3FADBBDC">
            <w:pPr>
              <w:pStyle w:val="Paragraphnonumbers"/>
              <w:rPr>
                <w:rFonts w:cs="Arial"/>
              </w:rPr>
            </w:pPr>
            <w:r w:rsidRPr="65884864">
              <w:rPr>
                <w:rFonts w:cs="Arial"/>
              </w:rPr>
              <w:t xml:space="preserve">Early diagnosis through targeted population health data and intelligence which identifies those who are most likely to be at risk and tackling health inequalities and outcomes. </w:t>
            </w:r>
          </w:p>
          <w:p w14:paraId="78D2D12C" w14:textId="1ECF161B" w:rsidR="005D2F60" w:rsidRPr="005F370B" w:rsidRDefault="3FADBBDC" w:rsidP="3FADBBDC">
            <w:pPr>
              <w:pStyle w:val="Paragraphnonumbers"/>
              <w:rPr>
                <w:rFonts w:cs="Arial"/>
              </w:rPr>
            </w:pPr>
            <w:r w:rsidRPr="3FADBBDC">
              <w:rPr>
                <w:rFonts w:cs="Arial"/>
              </w:rPr>
              <w:t xml:space="preserve">It is recognised that this is an area of disparity and with data available at a local level it is important that measures are developed for each population to identify those most at risk at an early stage of the condition </w:t>
            </w:r>
          </w:p>
          <w:p w14:paraId="75B8DD63" w14:textId="65AC83D1" w:rsidR="005D2F60" w:rsidRPr="005F370B" w:rsidRDefault="65884864" w:rsidP="65884864">
            <w:pPr>
              <w:pStyle w:val="Paragraphnonumbers"/>
              <w:rPr>
                <w:rFonts w:cs="Arial"/>
              </w:rPr>
            </w:pPr>
            <w:r w:rsidRPr="65884864">
              <w:rPr>
                <w:rFonts w:cs="Arial"/>
              </w:rPr>
              <w:t xml:space="preserve">An example would be screening and diagnosis in people with a learning disability, although there would be many other population groups to be considered also. </w:t>
            </w:r>
          </w:p>
          <w:p w14:paraId="798B3B69" w14:textId="3F73CADB" w:rsidR="005D2F60" w:rsidRPr="005F370B" w:rsidRDefault="005D2F60" w:rsidP="65884864">
            <w:pPr>
              <w:pStyle w:val="Paragraphnonumbers"/>
              <w:rPr>
                <w:rFonts w:cs="Arial"/>
              </w:rPr>
            </w:pPr>
          </w:p>
          <w:p w14:paraId="7E06A89B" w14:textId="13A7F61A" w:rsidR="005D2F60" w:rsidRPr="005F370B" w:rsidRDefault="65884864" w:rsidP="00BE74C8">
            <w:pPr>
              <w:pStyle w:val="Paragraphnonumbers"/>
              <w:rPr>
                <w:rFonts w:cs="Arial"/>
              </w:rPr>
            </w:pPr>
            <w:r w:rsidRPr="65884864">
              <w:rPr>
                <w:rFonts w:cs="Arial"/>
              </w:rPr>
              <w:t xml:space="preserve">Access to Diagnostic services ie DEXA scanning (variation across the country) </w:t>
            </w:r>
          </w:p>
        </w:tc>
        <w:tc>
          <w:tcPr>
            <w:tcW w:w="3543" w:type="dxa"/>
          </w:tcPr>
          <w:p w14:paraId="39DEA7DA" w14:textId="1D48D929" w:rsidR="3FADBBDC" w:rsidRDefault="3FADBBDC" w:rsidP="3FADBBDC">
            <w:pPr>
              <w:pStyle w:val="NormalWeb"/>
              <w:numPr>
                <w:ilvl w:val="0"/>
                <w:numId w:val="29"/>
              </w:numPr>
              <w:shd w:val="clear" w:color="auto" w:fill="FFFFFF" w:themeFill="background1"/>
              <w:spacing w:after="240" w:afterAutospacing="0" w:line="336" w:lineRule="atLeast"/>
            </w:pPr>
            <w:hyperlink r:id="rId13">
              <w:r w:rsidRPr="3FADBBDC">
                <w:rPr>
                  <w:rStyle w:val="Hyperlink"/>
                </w:rPr>
                <w:t>Disparities in Osteoporosis Prevention and Care: Understanding Gender, Racial, and Ethnic Dynamics - PubMed</w:t>
              </w:r>
            </w:hyperlink>
          </w:p>
          <w:p w14:paraId="287897FE" w14:textId="3F8D0321" w:rsidR="00964CAD" w:rsidRPr="00A43AAC" w:rsidRDefault="3FADBBDC" w:rsidP="00A43AAC">
            <w:pPr>
              <w:pStyle w:val="NormalWeb"/>
              <w:numPr>
                <w:ilvl w:val="0"/>
                <w:numId w:val="29"/>
              </w:numPr>
              <w:shd w:val="clear" w:color="auto" w:fill="FFFFFF"/>
              <w:spacing w:after="240" w:afterAutospacing="0" w:line="336" w:lineRule="atLeast"/>
              <w:rPr>
                <w:rFonts w:ascii="Arial" w:hAnsi="Arial" w:cs="Arial"/>
                <w:color w:val="000000"/>
              </w:rPr>
            </w:pPr>
            <w:hyperlink r:id="rId14">
              <w:r w:rsidRPr="3FADBBDC">
                <w:rPr>
                  <w:rFonts w:ascii="Arial" w:hAnsi="Arial" w:cs="Arial"/>
                  <w:color w:val="0000FF"/>
                  <w:u w:val="single"/>
                </w:rPr>
                <w:t>Ageing, osteoporosis and intellectual disability; risks differ, and diagnosis can be missed - Burke - 2024 - British Journal of Learning Disabilities - Wiley Online Library</w:t>
              </w:r>
            </w:hyperlink>
          </w:p>
          <w:p w14:paraId="03392A23" w14:textId="77777777" w:rsidR="00A43AAC" w:rsidRDefault="00A43AAC" w:rsidP="00A43AAC">
            <w:pPr>
              <w:pStyle w:val="NormalWeb"/>
              <w:shd w:val="clear" w:color="auto" w:fill="FFFFFF"/>
              <w:spacing w:after="240" w:afterAutospacing="0" w:line="336" w:lineRule="atLeast"/>
              <w:ind w:left="720"/>
              <w:rPr>
                <w:rFonts w:ascii="Open Sans" w:hAnsi="Open Sans" w:cs="Open Sans"/>
                <w:color w:val="000000"/>
              </w:rPr>
            </w:pPr>
          </w:p>
          <w:p w14:paraId="607F37A5" w14:textId="77777777" w:rsidR="005D2F60" w:rsidRPr="005F370B" w:rsidRDefault="005D2F60" w:rsidP="00A43AAC">
            <w:pPr>
              <w:pStyle w:val="NormalWeb"/>
              <w:shd w:val="clear" w:color="auto" w:fill="FFFFFF"/>
              <w:spacing w:after="240" w:afterAutospacing="0" w:line="336" w:lineRule="atLeast"/>
              <w:ind w:left="720"/>
              <w:rPr>
                <w:rFonts w:cs="Arial"/>
              </w:rPr>
            </w:pPr>
          </w:p>
        </w:tc>
        <w:tc>
          <w:tcPr>
            <w:tcW w:w="2552" w:type="dxa"/>
          </w:tcPr>
          <w:p w14:paraId="5FBCADA8" w14:textId="55ECAEF8" w:rsidR="3FADBBDC" w:rsidRDefault="3FADBBDC" w:rsidP="3FADBBDC">
            <w:pPr>
              <w:pStyle w:val="Paragraphnonumbers"/>
              <w:rPr>
                <w:rFonts w:cs="Arial"/>
              </w:rPr>
            </w:pPr>
            <w:r w:rsidRPr="3FADBBDC">
              <w:rPr>
                <w:rFonts w:cs="Arial"/>
              </w:rPr>
              <w:t xml:space="preserve">RCGP Health Equity hub </w:t>
            </w:r>
          </w:p>
          <w:p w14:paraId="58E6720F" w14:textId="0ABA76DD" w:rsidR="3FADBBDC" w:rsidRDefault="3FADBBDC" w:rsidP="3FADBBDC">
            <w:hyperlink r:id="rId15">
              <w:r w:rsidRPr="3FADBBDC">
                <w:rPr>
                  <w:rStyle w:val="Hyperlink"/>
                </w:rPr>
                <w:t>Health equity special interest group</w:t>
              </w:r>
            </w:hyperlink>
            <w:r w:rsidRPr="3FADBBDC">
              <w:t xml:space="preserve"> </w:t>
            </w:r>
          </w:p>
          <w:p w14:paraId="1DC84E98" w14:textId="7912B8A3" w:rsidR="3FADBBDC" w:rsidRDefault="3FADBBDC" w:rsidP="3FADBBDC">
            <w:pPr>
              <w:pStyle w:val="Paragraphnonumbers"/>
              <w:rPr>
                <w:rFonts w:cs="Arial"/>
              </w:rPr>
            </w:pPr>
          </w:p>
          <w:p w14:paraId="49B9FBDC" w14:textId="24E31C1C" w:rsidR="00A43AAC" w:rsidRPr="005F370B" w:rsidRDefault="3FADBBDC" w:rsidP="3FADBBDC">
            <w:pPr>
              <w:pStyle w:val="Paragraphnonumbers"/>
              <w:rPr>
                <w:rFonts w:cs="Arial"/>
              </w:rPr>
            </w:pPr>
            <w:r w:rsidRPr="3FADBBDC">
              <w:rPr>
                <w:rFonts w:cs="Arial"/>
              </w:rPr>
              <w:t xml:space="preserve">People with a learning disability are younger when </w:t>
            </w:r>
            <w:r w:rsidR="008D1042" w:rsidRPr="3FADBBDC">
              <w:rPr>
                <w:rFonts w:cs="Arial"/>
              </w:rPr>
              <w:t>they receive</w:t>
            </w:r>
            <w:r w:rsidRPr="3FADBBDC">
              <w:rPr>
                <w:rFonts w:cs="Arial"/>
              </w:rPr>
              <w:t xml:space="preserve"> a diagnosis of osteoporosis than the general population and are less likely to have their risk assessed. </w:t>
            </w:r>
          </w:p>
          <w:p w14:paraId="0B86A02B" w14:textId="1983AAF7" w:rsidR="00A43AAC" w:rsidRPr="005F370B" w:rsidRDefault="00A43AAC" w:rsidP="00BE74C8">
            <w:pPr>
              <w:pStyle w:val="Paragraphnonumbers"/>
              <w:rPr>
                <w:rFonts w:cs="Arial"/>
              </w:rPr>
            </w:pPr>
          </w:p>
        </w:tc>
      </w:tr>
      <w:tr w:rsidR="005D2F60" w:rsidRPr="005F370B" w14:paraId="38AF9D9D" w14:textId="77777777" w:rsidTr="65884864">
        <w:tc>
          <w:tcPr>
            <w:tcW w:w="3681" w:type="dxa"/>
          </w:tcPr>
          <w:p w14:paraId="472398E1" w14:textId="5609FEB0" w:rsidR="005D2F60" w:rsidRPr="005F370B" w:rsidRDefault="005D2F60" w:rsidP="70C8C9B3">
            <w:pPr>
              <w:pStyle w:val="Paragraphnonumbers"/>
              <w:spacing w:after="120"/>
              <w:rPr>
                <w:rFonts w:cs="Arial"/>
              </w:rPr>
            </w:pPr>
            <w:r w:rsidRPr="70C8C9B3">
              <w:rPr>
                <w:rFonts w:cs="Arial"/>
              </w:rPr>
              <w:t>Key area for quality improvement 2</w:t>
            </w:r>
          </w:p>
          <w:p w14:paraId="18EC468B" w14:textId="0E982B7F" w:rsidR="005D2F60" w:rsidRPr="005F370B" w:rsidRDefault="78AC8CDC" w:rsidP="00BE74C8">
            <w:pPr>
              <w:pStyle w:val="Paragraphnonumbers"/>
              <w:spacing w:after="120"/>
              <w:rPr>
                <w:rFonts w:cs="Arial"/>
              </w:rPr>
            </w:pPr>
            <w:r w:rsidRPr="5D0A06CE">
              <w:rPr>
                <w:rFonts w:cs="Arial"/>
              </w:rPr>
              <w:lastRenderedPageBreak/>
              <w:t>Falls and Fracture Prevention</w:t>
            </w:r>
            <w:r w:rsidR="77E8D835" w:rsidRPr="5D0A06CE">
              <w:rPr>
                <w:rFonts w:cs="Arial"/>
              </w:rPr>
              <w:t xml:space="preserve"> a whole system approach </w:t>
            </w:r>
            <w:r w:rsidRPr="5D0A06CE">
              <w:rPr>
                <w:rFonts w:cs="Arial"/>
              </w:rPr>
              <w:t xml:space="preserve"> </w:t>
            </w:r>
          </w:p>
        </w:tc>
        <w:tc>
          <w:tcPr>
            <w:tcW w:w="4111" w:type="dxa"/>
          </w:tcPr>
          <w:p w14:paraId="62162024" w14:textId="486601B2" w:rsidR="005D2F60" w:rsidRPr="005F370B" w:rsidRDefault="3FADBBDC" w:rsidP="70C8C9B3">
            <w:pPr>
              <w:pStyle w:val="Paragraphnonumbers"/>
              <w:rPr>
                <w:rFonts w:cs="Arial"/>
              </w:rPr>
            </w:pPr>
            <w:r w:rsidRPr="70C8C9B3">
              <w:rPr>
                <w:rFonts w:cs="Arial"/>
              </w:rPr>
              <w:lastRenderedPageBreak/>
              <w:t xml:space="preserve">Prevention </w:t>
            </w:r>
          </w:p>
          <w:p w14:paraId="780FCEB1" w14:textId="33616E89" w:rsidR="005D2F60" w:rsidRPr="005F370B" w:rsidRDefault="65884864" w:rsidP="65884864">
            <w:pPr>
              <w:pStyle w:val="Paragraphnonumbers"/>
              <w:rPr>
                <w:rFonts w:cs="Arial"/>
              </w:rPr>
            </w:pPr>
            <w:r w:rsidRPr="65884864">
              <w:rPr>
                <w:rFonts w:cs="Arial"/>
              </w:rPr>
              <w:lastRenderedPageBreak/>
              <w:t xml:space="preserve">Fracture risks and prevention of serious injury and mortality involves a whole system integrated approach. Reducing Fractures involves not only the comprehensive roll out of Fracture Liaison Services but a comprehensive service which integrates with other programmes of work across health and social care. Wider use of Fracture risk prevention tools in primary care.    </w:t>
            </w:r>
          </w:p>
          <w:p w14:paraId="5A56D6E7" w14:textId="7EB6A92B" w:rsidR="005D2F60" w:rsidRPr="005F370B" w:rsidRDefault="005D2F60" w:rsidP="65884864">
            <w:pPr>
              <w:pStyle w:val="Paragraphnonumbers"/>
              <w:rPr>
                <w:rFonts w:cs="Arial"/>
              </w:rPr>
            </w:pPr>
          </w:p>
          <w:p w14:paraId="3B5AF48C" w14:textId="312263E8" w:rsidR="005D2F60" w:rsidRPr="005F370B" w:rsidRDefault="005D2F60" w:rsidP="00BE74C8">
            <w:pPr>
              <w:pStyle w:val="Paragraphnonumbers"/>
              <w:rPr>
                <w:rFonts w:cs="Arial"/>
              </w:rPr>
            </w:pPr>
          </w:p>
        </w:tc>
        <w:tc>
          <w:tcPr>
            <w:tcW w:w="3543" w:type="dxa"/>
          </w:tcPr>
          <w:p w14:paraId="7980E021" w14:textId="10D2CB33" w:rsidR="72D2964C" w:rsidRDefault="72D2964C" w:rsidP="5D0A06CE">
            <w:pPr>
              <w:rPr>
                <w:rFonts w:ascii="Arial" w:hAnsi="Arial" w:cs="Arial"/>
              </w:rPr>
            </w:pPr>
            <w:hyperlink r:id="rId16">
              <w:r w:rsidRPr="5D0A06CE">
                <w:rPr>
                  <w:rStyle w:val="Hyperlink"/>
                  <w:rFonts w:ascii="Arial" w:hAnsi="Arial" w:cs="Arial"/>
                </w:rPr>
                <w:t>https://doi.org/10.1093/ageing/afac205</w:t>
              </w:r>
            </w:hyperlink>
            <w:r w:rsidRPr="5D0A06CE">
              <w:rPr>
                <w:rFonts w:ascii="Arial" w:hAnsi="Arial" w:cs="Arial"/>
              </w:rPr>
              <w:t xml:space="preserve"> (World guidelines for </w:t>
            </w:r>
            <w:r w:rsidRPr="5D0A06CE">
              <w:rPr>
                <w:rFonts w:ascii="Arial" w:hAnsi="Arial" w:cs="Arial"/>
              </w:rPr>
              <w:lastRenderedPageBreak/>
              <w:t xml:space="preserve">falls prevention and management for older adults) </w:t>
            </w:r>
          </w:p>
          <w:p w14:paraId="5DD4BA7E" w14:textId="5DC41117" w:rsidR="5D0A06CE" w:rsidRDefault="5D0A06CE" w:rsidP="5D0A06CE">
            <w:pPr>
              <w:rPr>
                <w:rFonts w:ascii="Arial" w:hAnsi="Arial" w:cs="Arial"/>
                <w:color w:val="0000FF"/>
                <w:u w:val="single"/>
              </w:rPr>
            </w:pPr>
          </w:p>
          <w:p w14:paraId="24EA2EF5" w14:textId="0ACF8733" w:rsidR="5D0A06CE" w:rsidRDefault="5D0A06CE" w:rsidP="5D0A06CE">
            <w:pPr>
              <w:rPr>
                <w:rFonts w:ascii="Arial" w:hAnsi="Arial" w:cs="Arial"/>
                <w:color w:val="0000FF"/>
                <w:u w:val="single"/>
              </w:rPr>
            </w:pPr>
          </w:p>
          <w:p w14:paraId="37153949" w14:textId="4736B26C" w:rsidR="5D0A06CE" w:rsidRDefault="65884864" w:rsidP="65884864">
            <w:pPr>
              <w:rPr>
                <w:rFonts w:ascii="Arial" w:eastAsia="Arial" w:hAnsi="Arial" w:cs="Arial"/>
              </w:rPr>
            </w:pPr>
            <w:hyperlink r:id="rId17">
              <w:r w:rsidRPr="65884864">
                <w:rPr>
                  <w:rStyle w:val="Hyperlink"/>
                  <w:rFonts w:ascii="Arial" w:eastAsia="Arial" w:hAnsi="Arial" w:cs="Arial"/>
                </w:rPr>
                <w:t>Osteoporosis prevention and osteoporosis exercise in community-based public health programs - PMC</w:t>
              </w:r>
            </w:hyperlink>
            <w:r w:rsidRPr="65884864">
              <w:rPr>
                <w:rFonts w:ascii="Arial" w:eastAsia="Arial" w:hAnsi="Arial" w:cs="Arial"/>
              </w:rPr>
              <w:t xml:space="preserve"> </w:t>
            </w:r>
          </w:p>
          <w:p w14:paraId="2B648596" w14:textId="2F508FF9" w:rsidR="00CE3B58" w:rsidRPr="00CE3B58" w:rsidRDefault="00CE3B58" w:rsidP="5D0A06CE">
            <w:pPr>
              <w:rPr>
                <w:rFonts w:ascii="Arial" w:hAnsi="Arial" w:cs="Arial"/>
                <w:color w:val="0000FF"/>
                <w:u w:val="single"/>
              </w:rPr>
            </w:pPr>
          </w:p>
        </w:tc>
        <w:tc>
          <w:tcPr>
            <w:tcW w:w="2552" w:type="dxa"/>
          </w:tcPr>
          <w:p w14:paraId="4D22FF68" w14:textId="1E32958B" w:rsidR="00CE3B58" w:rsidRDefault="65884864" w:rsidP="00BE74C8">
            <w:pPr>
              <w:pStyle w:val="Paragraphnonumbers"/>
              <w:rPr>
                <w:rFonts w:cs="Arial"/>
              </w:rPr>
            </w:pPr>
            <w:r w:rsidRPr="65884864">
              <w:rPr>
                <w:rFonts w:cs="Arial"/>
              </w:rPr>
              <w:lastRenderedPageBreak/>
              <w:t xml:space="preserve">‘Preventive Medicine’ is an RCGP Clinical </w:t>
            </w:r>
            <w:r w:rsidRPr="65884864">
              <w:rPr>
                <w:rFonts w:cs="Arial"/>
              </w:rPr>
              <w:lastRenderedPageBreak/>
              <w:t xml:space="preserve">Priority and for Osteoporosis there are two Preventive Medicine ssues </w:t>
            </w:r>
          </w:p>
          <w:p w14:paraId="69BE17B5" w14:textId="336C4755" w:rsidR="65884864" w:rsidRDefault="65884864" w:rsidP="65884864">
            <w:pPr>
              <w:pStyle w:val="Paragraphnonumbers"/>
              <w:rPr>
                <w:rFonts w:cs="Arial"/>
              </w:rPr>
            </w:pPr>
            <w:r w:rsidRPr="65884864">
              <w:rPr>
                <w:rFonts w:cs="Arial"/>
              </w:rPr>
              <w:t xml:space="preserve">Prevention of Osteoporosis and Falls and Fragility Fracture prevention </w:t>
            </w:r>
          </w:p>
          <w:p w14:paraId="44C9A0D9" w14:textId="3C29B28F" w:rsidR="65884864" w:rsidRDefault="65884864" w:rsidP="65884864">
            <w:pPr>
              <w:pStyle w:val="Paragraphnonumbers"/>
              <w:rPr>
                <w:rFonts w:cs="Arial"/>
              </w:rPr>
            </w:pPr>
            <w:r w:rsidRPr="65884864">
              <w:rPr>
                <w:rFonts w:cs="Arial"/>
              </w:rPr>
              <w:t xml:space="preserve">In the prevention of osteoporosis there is a wider social ecologic model. </w:t>
            </w:r>
          </w:p>
          <w:p w14:paraId="6996A092" w14:textId="4C159DBE" w:rsidR="65884864" w:rsidRDefault="65884864" w:rsidP="65884864">
            <w:pPr>
              <w:pStyle w:val="Paragraphnonumbers"/>
              <w:rPr>
                <w:rFonts w:cs="Arial"/>
              </w:rPr>
            </w:pPr>
            <w:r w:rsidRPr="65884864">
              <w:rPr>
                <w:rFonts w:cs="Arial"/>
              </w:rPr>
              <w:t xml:space="preserve">For Falls and Fragility fracture prevention there is a targeted approach.  </w:t>
            </w:r>
          </w:p>
          <w:p w14:paraId="4A65A674" w14:textId="5DDEF7B6" w:rsidR="005D2F60" w:rsidRPr="005F370B" w:rsidRDefault="00A43AAC" w:rsidP="00BE74C8">
            <w:pPr>
              <w:pStyle w:val="Paragraphnonumbers"/>
              <w:rPr>
                <w:rFonts w:cs="Arial"/>
              </w:rPr>
            </w:pPr>
            <w:r>
              <w:rPr>
                <w:rFonts w:cs="Arial"/>
              </w:rPr>
              <w:t xml:space="preserve"> </w:t>
            </w:r>
          </w:p>
        </w:tc>
      </w:tr>
      <w:tr w:rsidR="005D2F60" w:rsidRPr="005F370B" w14:paraId="5D757FF0" w14:textId="77777777" w:rsidTr="65884864">
        <w:tc>
          <w:tcPr>
            <w:tcW w:w="3681" w:type="dxa"/>
          </w:tcPr>
          <w:p w14:paraId="6135F0A1" w14:textId="002E7241" w:rsidR="005D2F60" w:rsidRPr="005F370B" w:rsidRDefault="005D2F60" w:rsidP="5D0A06CE">
            <w:pPr>
              <w:pStyle w:val="Paragraphnonumbers"/>
              <w:spacing w:after="120"/>
              <w:rPr>
                <w:rFonts w:cs="Arial"/>
              </w:rPr>
            </w:pPr>
            <w:r w:rsidRPr="5D0A06CE">
              <w:rPr>
                <w:rFonts w:cs="Arial"/>
              </w:rPr>
              <w:lastRenderedPageBreak/>
              <w:t>Key area for quality improvement 3</w:t>
            </w:r>
          </w:p>
          <w:p w14:paraId="51858225" w14:textId="33C4515A" w:rsidR="005D2F60" w:rsidRPr="005F370B" w:rsidRDefault="005D2F60" w:rsidP="5D0A06CE">
            <w:pPr>
              <w:pStyle w:val="Paragraphnonumbers"/>
              <w:spacing w:after="120"/>
              <w:rPr>
                <w:rFonts w:cs="Arial"/>
              </w:rPr>
            </w:pPr>
          </w:p>
          <w:p w14:paraId="019CC0D7" w14:textId="79216058" w:rsidR="005D2F60" w:rsidRPr="005F370B" w:rsidRDefault="397F5158" w:rsidP="5D0A06CE">
            <w:pPr>
              <w:pStyle w:val="Paragraphnonumbers"/>
              <w:spacing w:after="120"/>
              <w:rPr>
                <w:rFonts w:cs="Arial"/>
              </w:rPr>
            </w:pPr>
            <w:r w:rsidRPr="5D0A06CE">
              <w:rPr>
                <w:rFonts w:cs="Arial"/>
              </w:rPr>
              <w:t>Shared Decision making in considering treatment options</w:t>
            </w:r>
          </w:p>
          <w:p w14:paraId="4F977E9A" w14:textId="6DBE50E6" w:rsidR="005D2F60" w:rsidRPr="005F370B" w:rsidRDefault="005D2F60" w:rsidP="5D0A06CE">
            <w:pPr>
              <w:pStyle w:val="Paragraphnonumbers"/>
              <w:spacing w:after="120"/>
              <w:rPr>
                <w:rFonts w:cs="Arial"/>
              </w:rPr>
            </w:pPr>
          </w:p>
          <w:p w14:paraId="7B60868C" w14:textId="532E04C3" w:rsidR="005D2F60" w:rsidRPr="005F370B" w:rsidRDefault="005D2F60" w:rsidP="5D0A06CE">
            <w:pPr>
              <w:pStyle w:val="Paragraphnonumbers"/>
              <w:spacing w:after="120"/>
              <w:rPr>
                <w:rFonts w:cs="Arial"/>
              </w:rPr>
            </w:pPr>
          </w:p>
          <w:p w14:paraId="46CED5E5" w14:textId="2134D566" w:rsidR="005D2F60" w:rsidRPr="005F370B" w:rsidRDefault="005D2F60" w:rsidP="5D0A06CE">
            <w:pPr>
              <w:pStyle w:val="Paragraphnonumbers"/>
              <w:spacing w:after="120"/>
              <w:rPr>
                <w:rFonts w:cs="Arial"/>
              </w:rPr>
            </w:pPr>
          </w:p>
          <w:p w14:paraId="14B3B258" w14:textId="4136693A" w:rsidR="005D2F60" w:rsidRPr="005F370B" w:rsidRDefault="005D2F60" w:rsidP="5D0A06CE">
            <w:pPr>
              <w:pStyle w:val="Paragraphnonumbers"/>
              <w:spacing w:after="120"/>
              <w:rPr>
                <w:rFonts w:cs="Arial"/>
              </w:rPr>
            </w:pPr>
          </w:p>
          <w:p w14:paraId="72E61E69" w14:textId="21EDC00C" w:rsidR="005D2F60" w:rsidRPr="005F370B" w:rsidRDefault="005D2F60" w:rsidP="5D0A06CE">
            <w:pPr>
              <w:pStyle w:val="Paragraphnonumbers"/>
              <w:spacing w:after="120"/>
              <w:rPr>
                <w:rFonts w:cs="Arial"/>
              </w:rPr>
            </w:pPr>
          </w:p>
          <w:p w14:paraId="0897CE66" w14:textId="5D7271B4" w:rsidR="005D2F60" w:rsidRPr="005F370B" w:rsidRDefault="005D2F60" w:rsidP="5D0A06CE">
            <w:pPr>
              <w:pStyle w:val="Paragraphnonumbers"/>
              <w:spacing w:after="120"/>
              <w:rPr>
                <w:rFonts w:cs="Arial"/>
              </w:rPr>
            </w:pPr>
          </w:p>
          <w:p w14:paraId="443E51F9" w14:textId="0C0ACFCC" w:rsidR="005D2F60" w:rsidRPr="005F370B" w:rsidRDefault="005D2F60" w:rsidP="00BE74C8">
            <w:pPr>
              <w:pStyle w:val="Paragraphnonumbers"/>
              <w:spacing w:after="120"/>
              <w:rPr>
                <w:rFonts w:cs="Arial"/>
              </w:rPr>
            </w:pPr>
          </w:p>
        </w:tc>
        <w:tc>
          <w:tcPr>
            <w:tcW w:w="4111" w:type="dxa"/>
          </w:tcPr>
          <w:p w14:paraId="6881447A" w14:textId="4262CD87" w:rsidR="005D2F60" w:rsidRPr="005F370B" w:rsidRDefault="00A43AAC" w:rsidP="5D0A06CE">
            <w:pPr>
              <w:pStyle w:val="Paragraphnonumbers"/>
              <w:rPr>
                <w:rFonts w:cs="Arial"/>
              </w:rPr>
            </w:pPr>
            <w:r w:rsidRPr="5D0A06CE">
              <w:rPr>
                <w:rFonts w:cs="Arial"/>
              </w:rPr>
              <w:lastRenderedPageBreak/>
              <w:t xml:space="preserve">Medication </w:t>
            </w:r>
          </w:p>
          <w:p w14:paraId="0BA519BB" w14:textId="47BBC2FC" w:rsidR="005D2F60" w:rsidRPr="005F370B" w:rsidRDefault="3215C00A" w:rsidP="5D0A06CE">
            <w:pPr>
              <w:pStyle w:val="Paragraphnonumbers"/>
              <w:rPr>
                <w:rFonts w:cs="Arial"/>
              </w:rPr>
            </w:pPr>
            <w:hyperlink r:id="rId18">
              <w:r w:rsidRPr="5D0A06CE">
                <w:rPr>
                  <w:rStyle w:val="Hyperlink"/>
                  <w:rFonts w:cs="Arial"/>
                </w:rPr>
                <w:t>https://onlinelibrary.wiley.com/doi/full/10.1002/hsr2.849</w:t>
              </w:r>
            </w:hyperlink>
            <w:r w:rsidRPr="5D0A06CE">
              <w:rPr>
                <w:rFonts w:cs="Arial"/>
              </w:rPr>
              <w:t xml:space="preserve"> </w:t>
            </w:r>
          </w:p>
          <w:p w14:paraId="25DB914E" w14:textId="5DB213A5" w:rsidR="005D2F60" w:rsidRPr="005F370B" w:rsidRDefault="71689FCA" w:rsidP="00BE74C8">
            <w:pPr>
              <w:pStyle w:val="Paragraphnonumbers"/>
              <w:rPr>
                <w:rFonts w:cs="Arial"/>
              </w:rPr>
            </w:pPr>
            <w:hyperlink r:id="rId19">
              <w:r w:rsidRPr="5D0A06CE">
                <w:rPr>
                  <w:rStyle w:val="Hyperlink"/>
                  <w:rFonts w:cs="Arial"/>
                </w:rPr>
                <w:t>https://www.nice.org.uk/guidance/ta464/resources/bisphosphonates-for-treating-osteoporosis-patient-</w:t>
              </w:r>
              <w:r w:rsidRPr="5D0A06CE">
                <w:rPr>
                  <w:rStyle w:val="Hyperlink"/>
                  <w:rFonts w:cs="Arial"/>
                </w:rPr>
                <w:lastRenderedPageBreak/>
                <w:t>decision-aid-pdf-6896787085</w:t>
              </w:r>
            </w:hyperlink>
            <w:r w:rsidRPr="5D0A06CE">
              <w:rPr>
                <w:rFonts w:cs="Arial"/>
              </w:rPr>
              <w:t xml:space="preserve"> (Patient decision </w:t>
            </w:r>
            <w:r w:rsidR="4B0E6B21" w:rsidRPr="5D0A06CE">
              <w:rPr>
                <w:rFonts w:cs="Arial"/>
              </w:rPr>
              <w:t>aids)</w:t>
            </w:r>
          </w:p>
        </w:tc>
        <w:tc>
          <w:tcPr>
            <w:tcW w:w="3543" w:type="dxa"/>
          </w:tcPr>
          <w:p w14:paraId="5A2E024A" w14:textId="700858C4" w:rsidR="005D2F60" w:rsidRPr="005F370B" w:rsidRDefault="66351605" w:rsidP="5D0A06CE">
            <w:r w:rsidRPr="5D0A06CE">
              <w:rPr>
                <w:rFonts w:ascii="Open Sans" w:eastAsia="Open Sans" w:hAnsi="Open Sans" w:cs="Open Sans"/>
                <w:color w:val="000000" w:themeColor="text1"/>
              </w:rPr>
              <w:lastRenderedPageBreak/>
              <w:t>T</w:t>
            </w:r>
            <w:r w:rsidRPr="5D0A06CE">
              <w:rPr>
                <w:rFonts w:ascii="Arial" w:eastAsia="Arial" w:hAnsi="Arial" w:cs="Arial"/>
                <w:color w:val="000000" w:themeColor="text1"/>
              </w:rPr>
              <w:t>he results</w:t>
            </w:r>
            <w:r w:rsidR="4794D657" w:rsidRPr="5D0A06CE">
              <w:rPr>
                <w:rFonts w:ascii="Arial" w:eastAsia="Arial" w:hAnsi="Arial" w:cs="Arial"/>
                <w:color w:val="000000" w:themeColor="text1"/>
              </w:rPr>
              <w:t xml:space="preserve"> of this study in 2022  </w:t>
            </w:r>
            <w:r w:rsidRPr="5D0A06CE">
              <w:rPr>
                <w:rFonts w:ascii="Arial" w:eastAsia="Arial" w:hAnsi="Arial" w:cs="Arial"/>
                <w:color w:val="000000" w:themeColor="text1"/>
              </w:rPr>
              <w:t xml:space="preserve">highlight that patient preferences should be considered by physicians since they can impact adherence to the treatment and its efficacy. Currently, available PDAs can help to engage patients </w:t>
            </w:r>
            <w:r w:rsidRPr="5D0A06CE">
              <w:rPr>
                <w:rFonts w:ascii="Arial" w:eastAsia="Arial" w:hAnsi="Arial" w:cs="Arial"/>
                <w:color w:val="000000" w:themeColor="text1"/>
              </w:rPr>
              <w:lastRenderedPageBreak/>
              <w:t>through shared decision-making. Since the purpose of a PDA is to help patients in the decision-making process there is certain information that must necessarily be included in the PDA. The information gathered in this review regarding the decision drivers may help to define which content should be included in a PDA.</w:t>
            </w:r>
          </w:p>
          <w:p w14:paraId="5E7713AC" w14:textId="332BBA20" w:rsidR="005D2F60" w:rsidRPr="005F370B" w:rsidRDefault="005D2F60" w:rsidP="5D0A06CE">
            <w:pPr>
              <w:rPr>
                <w:rFonts w:ascii="Arial" w:eastAsia="Arial" w:hAnsi="Arial" w:cs="Arial"/>
                <w:color w:val="000000" w:themeColor="text1"/>
              </w:rPr>
            </w:pPr>
          </w:p>
          <w:p w14:paraId="73621AA0" w14:textId="30FE29AA" w:rsidR="005D2F60" w:rsidRPr="005F370B" w:rsidRDefault="65884864" w:rsidP="65884864">
            <w:pPr>
              <w:rPr>
                <w:rFonts w:ascii="Arial" w:eastAsia="Arial" w:hAnsi="Arial" w:cs="Arial"/>
                <w:color w:val="000000" w:themeColor="text1"/>
              </w:rPr>
            </w:pPr>
            <w:r w:rsidRPr="65884864">
              <w:rPr>
                <w:rFonts w:ascii="Arial" w:eastAsia="Arial" w:hAnsi="Arial" w:cs="Arial"/>
                <w:color w:val="000000" w:themeColor="text1"/>
              </w:rPr>
              <w:t xml:space="preserve">NICE have supported PDA for Osteoporosis and Bisphosphonate treatment </w:t>
            </w:r>
          </w:p>
        </w:tc>
        <w:tc>
          <w:tcPr>
            <w:tcW w:w="2552" w:type="dxa"/>
          </w:tcPr>
          <w:p w14:paraId="223C27D7" w14:textId="2CEEDBDA" w:rsidR="4B0E6B21" w:rsidRDefault="4B0E6B21" w:rsidP="5D0A06CE">
            <w:pPr>
              <w:pStyle w:val="Paragraphnonumbers"/>
              <w:rPr>
                <w:rFonts w:cs="Arial"/>
              </w:rPr>
            </w:pPr>
            <w:r w:rsidRPr="5D0A06CE">
              <w:rPr>
                <w:rFonts w:cs="Arial"/>
              </w:rPr>
              <w:lastRenderedPageBreak/>
              <w:t xml:space="preserve">More widespread use of patient decision aids </w:t>
            </w:r>
            <w:r w:rsidR="1B407A2C" w:rsidRPr="5D0A06CE">
              <w:rPr>
                <w:rFonts w:cs="Arial"/>
              </w:rPr>
              <w:t xml:space="preserve">(accessible for a range of individuals including those living </w:t>
            </w:r>
            <w:r w:rsidR="1B407A2C" w:rsidRPr="5D0A06CE">
              <w:rPr>
                <w:rFonts w:cs="Arial"/>
              </w:rPr>
              <w:lastRenderedPageBreak/>
              <w:t xml:space="preserve">with a learning disability) </w:t>
            </w:r>
          </w:p>
          <w:p w14:paraId="23667040" w14:textId="164D9CAE" w:rsidR="5D0A06CE" w:rsidRDefault="5D0A06CE" w:rsidP="5D0A06CE">
            <w:pPr>
              <w:pStyle w:val="Paragraphnonumbers"/>
              <w:rPr>
                <w:rFonts w:cs="Arial"/>
              </w:rPr>
            </w:pPr>
          </w:p>
          <w:p w14:paraId="1E861161" w14:textId="5AF4365B" w:rsidR="1B407A2C" w:rsidRDefault="1B407A2C" w:rsidP="5D0A06CE">
            <w:pPr>
              <w:pStyle w:val="Paragraphnonumbers"/>
              <w:rPr>
                <w:rFonts w:cs="Arial"/>
              </w:rPr>
            </w:pPr>
            <w:r w:rsidRPr="5D0A06CE">
              <w:rPr>
                <w:rFonts w:cs="Arial"/>
              </w:rPr>
              <w:t>M</w:t>
            </w:r>
            <w:r w:rsidR="4B0E6B21" w:rsidRPr="5D0A06CE">
              <w:rPr>
                <w:rFonts w:cs="Arial"/>
              </w:rPr>
              <w:t xml:space="preserve">ore resources </w:t>
            </w:r>
            <w:r w:rsidR="7A2BF2DB" w:rsidRPr="5D0A06CE">
              <w:rPr>
                <w:rFonts w:cs="Arial"/>
              </w:rPr>
              <w:t xml:space="preserve">to support patients with a </w:t>
            </w:r>
            <w:r w:rsidR="4B0E6B21" w:rsidRPr="5D0A06CE">
              <w:rPr>
                <w:rFonts w:cs="Arial"/>
              </w:rPr>
              <w:t>range of treatment options.</w:t>
            </w:r>
            <w:r w:rsidR="2CD51D89" w:rsidRPr="5D0A06CE">
              <w:rPr>
                <w:rFonts w:cs="Arial"/>
              </w:rPr>
              <w:t xml:space="preserve"> </w:t>
            </w:r>
          </w:p>
          <w:p w14:paraId="29641CA5" w14:textId="6562BFB4" w:rsidR="5D0A06CE" w:rsidRDefault="5D0A06CE" w:rsidP="5D0A06CE">
            <w:pPr>
              <w:pStyle w:val="Paragraphnonumbers"/>
              <w:rPr>
                <w:rFonts w:cs="Arial"/>
              </w:rPr>
            </w:pPr>
          </w:p>
          <w:p w14:paraId="44E48AA4" w14:textId="69CB9451" w:rsidR="2CD51D89" w:rsidRDefault="2CD51D89" w:rsidP="5D0A06CE">
            <w:pPr>
              <w:pStyle w:val="Paragraphnonumbers"/>
              <w:rPr>
                <w:rFonts w:cs="Arial"/>
              </w:rPr>
            </w:pPr>
            <w:r w:rsidRPr="5D0A06CE">
              <w:rPr>
                <w:rFonts w:cs="Arial"/>
              </w:rPr>
              <w:t xml:space="preserve">Consider personalised care including non-drug treatments </w:t>
            </w:r>
            <w:r w:rsidR="0F1E0210" w:rsidRPr="5D0A06CE">
              <w:rPr>
                <w:rFonts w:cs="Arial"/>
              </w:rPr>
              <w:t xml:space="preserve">including exercise and diet </w:t>
            </w:r>
          </w:p>
          <w:p w14:paraId="0897D1AB" w14:textId="3CC6A04C" w:rsidR="5D0A06CE" w:rsidRDefault="5D0A06CE" w:rsidP="5D0A06CE">
            <w:pPr>
              <w:pStyle w:val="Paragraphnonumbers"/>
              <w:rPr>
                <w:rFonts w:cs="Arial"/>
              </w:rPr>
            </w:pPr>
          </w:p>
          <w:p w14:paraId="56E16F3B" w14:textId="43376D86" w:rsidR="5D0A06CE" w:rsidRDefault="5D0A06CE" w:rsidP="5D0A06CE">
            <w:pPr>
              <w:pStyle w:val="Paragraphnonumbers"/>
              <w:rPr>
                <w:rFonts w:cs="Arial"/>
              </w:rPr>
            </w:pPr>
          </w:p>
          <w:p w14:paraId="5F35DB89" w14:textId="5771C6EB" w:rsidR="5D0A06CE" w:rsidRDefault="5D0A06CE" w:rsidP="5D0A06CE">
            <w:pPr>
              <w:pStyle w:val="Paragraphnonumbers"/>
              <w:rPr>
                <w:rFonts w:cs="Arial"/>
              </w:rPr>
            </w:pPr>
          </w:p>
          <w:p w14:paraId="50A504BD" w14:textId="5E2CDEE7" w:rsidR="5D0A06CE" w:rsidRDefault="5D0A06CE" w:rsidP="5D0A06CE">
            <w:pPr>
              <w:pStyle w:val="Paragraphnonumbers"/>
              <w:rPr>
                <w:rFonts w:cs="Arial"/>
              </w:rPr>
            </w:pPr>
          </w:p>
          <w:p w14:paraId="40FB7224" w14:textId="29BF6D13" w:rsidR="5D0A06CE" w:rsidRDefault="5D0A06CE" w:rsidP="5D0A06CE">
            <w:pPr>
              <w:pStyle w:val="Paragraphnonumbers"/>
              <w:rPr>
                <w:rFonts w:cs="Arial"/>
              </w:rPr>
            </w:pPr>
          </w:p>
          <w:p w14:paraId="15A45C4C" w14:textId="4F9D2E29" w:rsidR="005D2F60" w:rsidRPr="005F370B" w:rsidRDefault="005D2F60" w:rsidP="00BE74C8">
            <w:pPr>
              <w:pStyle w:val="Paragraphnonumbers"/>
              <w:rPr>
                <w:rFonts w:cs="Arial"/>
              </w:rPr>
            </w:pPr>
          </w:p>
        </w:tc>
      </w:tr>
      <w:tr w:rsidR="005D2F60" w:rsidRPr="005F370B" w14:paraId="6BDDE831" w14:textId="77777777" w:rsidTr="65884864">
        <w:tc>
          <w:tcPr>
            <w:tcW w:w="3681" w:type="dxa"/>
          </w:tcPr>
          <w:p w14:paraId="4E599B83" w14:textId="5DA70863" w:rsidR="005D2F60" w:rsidRPr="005F370B" w:rsidRDefault="005D2F60" w:rsidP="5D0A06CE">
            <w:pPr>
              <w:pStyle w:val="Paragraphnonumbers"/>
              <w:spacing w:after="120"/>
              <w:rPr>
                <w:rFonts w:cs="Arial"/>
              </w:rPr>
            </w:pPr>
            <w:r w:rsidRPr="5D0A06CE">
              <w:rPr>
                <w:rFonts w:cs="Arial"/>
              </w:rPr>
              <w:lastRenderedPageBreak/>
              <w:t>Key area for quality improvement 4</w:t>
            </w:r>
          </w:p>
          <w:p w14:paraId="335CCA2B" w14:textId="63CEF2D1" w:rsidR="005D2F60" w:rsidRPr="005F370B" w:rsidRDefault="005D2F60" w:rsidP="5D0A06CE">
            <w:pPr>
              <w:pStyle w:val="Paragraphnonumbers"/>
              <w:spacing w:after="120"/>
              <w:rPr>
                <w:rFonts w:cs="Arial"/>
              </w:rPr>
            </w:pPr>
          </w:p>
          <w:p w14:paraId="7FB9FA18" w14:textId="6E4E8A28" w:rsidR="005D2F60" w:rsidRPr="005F370B" w:rsidRDefault="68E9AC62" w:rsidP="00BE74C8">
            <w:pPr>
              <w:pStyle w:val="Paragraphnonumbers"/>
              <w:spacing w:after="120"/>
              <w:rPr>
                <w:rFonts w:cs="Arial"/>
              </w:rPr>
            </w:pPr>
            <w:r w:rsidRPr="5D0A06CE">
              <w:rPr>
                <w:rFonts w:cs="Arial"/>
              </w:rPr>
              <w:t xml:space="preserve">Accessible Information to guide patients </w:t>
            </w:r>
            <w:r w:rsidR="3F0A407B" w:rsidRPr="5D0A06CE">
              <w:rPr>
                <w:rFonts w:cs="Arial"/>
              </w:rPr>
              <w:t xml:space="preserve">and their carers </w:t>
            </w:r>
          </w:p>
        </w:tc>
        <w:tc>
          <w:tcPr>
            <w:tcW w:w="4111" w:type="dxa"/>
          </w:tcPr>
          <w:p w14:paraId="36A1975A" w14:textId="2A11FD60" w:rsidR="005D2F60" w:rsidRPr="005F370B" w:rsidRDefault="00CE3B58" w:rsidP="5D0A06CE">
            <w:pPr>
              <w:pStyle w:val="Paragraphnonumbers"/>
              <w:rPr>
                <w:rFonts w:cs="Arial"/>
              </w:rPr>
            </w:pPr>
            <w:r w:rsidRPr="5D0A06CE">
              <w:rPr>
                <w:rFonts w:cs="Arial"/>
              </w:rPr>
              <w:t xml:space="preserve">Information </w:t>
            </w:r>
          </w:p>
          <w:p w14:paraId="5F25B9DC" w14:textId="7AB21609" w:rsidR="005D2F60" w:rsidRPr="005F370B" w:rsidRDefault="005D2F60" w:rsidP="5D0A06CE">
            <w:pPr>
              <w:pStyle w:val="Paragraphnonumbers"/>
              <w:rPr>
                <w:rFonts w:cs="Arial"/>
              </w:rPr>
            </w:pPr>
          </w:p>
          <w:p w14:paraId="1CBC57BE" w14:textId="3476CDC0" w:rsidR="005D2F60" w:rsidRPr="005F370B" w:rsidRDefault="65884864" w:rsidP="00BE74C8">
            <w:pPr>
              <w:pStyle w:val="Paragraphnonumbers"/>
              <w:rPr>
                <w:rFonts w:cs="Arial"/>
              </w:rPr>
            </w:pPr>
            <w:r w:rsidRPr="65884864">
              <w:rPr>
                <w:rFonts w:cs="Arial"/>
              </w:rPr>
              <w:t xml:space="preserve">This needs to be accessible information and targeted at high-risk groups </w:t>
            </w:r>
          </w:p>
        </w:tc>
        <w:tc>
          <w:tcPr>
            <w:tcW w:w="3543" w:type="dxa"/>
          </w:tcPr>
          <w:p w14:paraId="007ED298" w14:textId="5A91D323" w:rsidR="005D2F60" w:rsidRPr="005F370B" w:rsidRDefault="4A67628F" w:rsidP="00BE74C8">
            <w:pPr>
              <w:pStyle w:val="Paragraphnonumbers"/>
              <w:rPr>
                <w:rFonts w:cs="Arial"/>
              </w:rPr>
            </w:pPr>
            <w:r w:rsidRPr="5D0A06CE">
              <w:rPr>
                <w:rFonts w:cs="Arial"/>
              </w:rPr>
              <w:t xml:space="preserve">As above use of shared decision making and patient decision aids </w:t>
            </w:r>
          </w:p>
        </w:tc>
        <w:tc>
          <w:tcPr>
            <w:tcW w:w="2552" w:type="dxa"/>
          </w:tcPr>
          <w:p w14:paraId="1C61B809" w14:textId="7033CB65" w:rsidR="005D2F60" w:rsidRPr="005F370B" w:rsidRDefault="005D2F60" w:rsidP="00BE74C8">
            <w:pPr>
              <w:pStyle w:val="Paragraphnonumbers"/>
              <w:rPr>
                <w:rFonts w:cs="Arial"/>
              </w:rPr>
            </w:pPr>
          </w:p>
        </w:tc>
      </w:tr>
      <w:tr w:rsidR="005D2F60" w:rsidRPr="005F370B" w14:paraId="640E4EC4" w14:textId="77777777" w:rsidTr="65884864">
        <w:tc>
          <w:tcPr>
            <w:tcW w:w="3681" w:type="dxa"/>
          </w:tcPr>
          <w:p w14:paraId="09FC185B" w14:textId="03487E98" w:rsidR="005D2F60" w:rsidRPr="005F370B" w:rsidRDefault="005D2F60" w:rsidP="5D0A06CE">
            <w:pPr>
              <w:pStyle w:val="Paragraphnonumbers"/>
              <w:spacing w:after="120"/>
              <w:rPr>
                <w:rFonts w:cs="Arial"/>
              </w:rPr>
            </w:pPr>
            <w:r w:rsidRPr="5D0A06CE">
              <w:rPr>
                <w:rFonts w:cs="Arial"/>
              </w:rPr>
              <w:t>Key area for quality improvement 5</w:t>
            </w:r>
          </w:p>
          <w:p w14:paraId="3AE8E2F8" w14:textId="4D7B9CF4" w:rsidR="005D2F60" w:rsidRPr="005F370B" w:rsidRDefault="005D2F60" w:rsidP="5D0A06CE">
            <w:pPr>
              <w:pStyle w:val="Paragraphnonumbers"/>
              <w:spacing w:after="120"/>
              <w:rPr>
                <w:rFonts w:cs="Arial"/>
              </w:rPr>
            </w:pPr>
          </w:p>
          <w:p w14:paraId="3B218A9D" w14:textId="5F90069F" w:rsidR="005D2F60" w:rsidRPr="005F370B" w:rsidRDefault="3D1D9097" w:rsidP="00BE74C8">
            <w:pPr>
              <w:pStyle w:val="Paragraphnonumbers"/>
              <w:spacing w:after="120"/>
              <w:rPr>
                <w:rFonts w:cs="Arial"/>
              </w:rPr>
            </w:pPr>
            <w:r w:rsidRPr="5D0A06CE">
              <w:rPr>
                <w:rFonts w:cs="Arial"/>
              </w:rPr>
              <w:t>Public Health and w</w:t>
            </w:r>
            <w:r w:rsidR="57FF2E05" w:rsidRPr="5D0A06CE">
              <w:rPr>
                <w:rFonts w:cs="Arial"/>
              </w:rPr>
              <w:t xml:space="preserve">ider system support </w:t>
            </w:r>
          </w:p>
        </w:tc>
        <w:tc>
          <w:tcPr>
            <w:tcW w:w="4111" w:type="dxa"/>
          </w:tcPr>
          <w:p w14:paraId="10CF6D00" w14:textId="1BB1EE16" w:rsidR="005D2F60" w:rsidRPr="005F370B" w:rsidRDefault="65884864" w:rsidP="00BE74C8">
            <w:pPr>
              <w:pStyle w:val="Paragraphnonumbers"/>
              <w:rPr>
                <w:rFonts w:cs="Arial"/>
              </w:rPr>
            </w:pPr>
            <w:r w:rsidRPr="65884864">
              <w:rPr>
                <w:rFonts w:cs="Arial"/>
              </w:rPr>
              <w:t xml:space="preserve">Support for prevention agenda campaign materials to promote osteoporosis prevention a life course approach from childhood to older age through diet and exercise advice and support especially for those in area of deprivation. </w:t>
            </w:r>
          </w:p>
        </w:tc>
        <w:tc>
          <w:tcPr>
            <w:tcW w:w="3543" w:type="dxa"/>
          </w:tcPr>
          <w:p w14:paraId="009542D0" w14:textId="77777777" w:rsidR="005D2F60" w:rsidRPr="005F370B" w:rsidRDefault="005D2F60" w:rsidP="00BE74C8">
            <w:pPr>
              <w:pStyle w:val="Paragraphnonumbers"/>
              <w:rPr>
                <w:rFonts w:cs="Arial"/>
              </w:rPr>
            </w:pPr>
          </w:p>
        </w:tc>
        <w:tc>
          <w:tcPr>
            <w:tcW w:w="2552" w:type="dxa"/>
          </w:tcPr>
          <w:p w14:paraId="7930E6AC" w14:textId="212972D4" w:rsidR="005D2F60" w:rsidRPr="005F370B" w:rsidRDefault="005D2F60" w:rsidP="00BE74C8">
            <w:pPr>
              <w:pStyle w:val="Paragraphnonumbers"/>
              <w:rPr>
                <w:rFonts w:cs="Arial"/>
              </w:rPr>
            </w:pPr>
          </w:p>
        </w:tc>
      </w:tr>
    </w:tbl>
    <w:p w14:paraId="36D3CEAB" w14:textId="22388C34" w:rsidR="00572C22" w:rsidRPr="005F370B" w:rsidRDefault="00572C22" w:rsidP="00572C22">
      <w:pPr>
        <w:pStyle w:val="Heading1"/>
        <w:spacing w:before="240"/>
        <w:rPr>
          <w:rFonts w:cs="Arial"/>
        </w:rPr>
      </w:pPr>
      <w:r w:rsidRPr="005F370B">
        <w:rPr>
          <w:rFonts w:cs="Arial"/>
        </w:rPr>
        <w:t>Checklist for submitting comments</w:t>
      </w:r>
    </w:p>
    <w:p w14:paraId="76AC4DDC"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 xml:space="preserve">Combine all comments from your organisation into 1 response. We cannot accept more than 1 response from each organisation. </w:t>
      </w:r>
    </w:p>
    <w:p w14:paraId="5971F578" w14:textId="25C85E0E" w:rsidR="00572C22" w:rsidRDefault="00572C22" w:rsidP="008316C1">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47440A6D" w14:textId="77777777" w:rsidR="00100812" w:rsidRPr="00100812" w:rsidRDefault="00100812" w:rsidP="008316C1">
      <w:pPr>
        <w:pStyle w:val="ListParagraph"/>
        <w:numPr>
          <w:ilvl w:val="0"/>
          <w:numId w:val="22"/>
        </w:numPr>
        <w:spacing w:line="276" w:lineRule="auto"/>
        <w:rPr>
          <w:rFonts w:ascii="Arial" w:hAnsi="Arial" w:cs="Arial"/>
          <w:b/>
          <w:bCs/>
        </w:rPr>
      </w:pPr>
      <w:r w:rsidRPr="00100812">
        <w:rPr>
          <w:rFonts w:ascii="Arial" w:hAnsi="Arial" w:cs="Arial"/>
          <w:b/>
          <w:bCs/>
        </w:rPr>
        <w:t>Clearly mark any confidential information or other material that you do not wish to be made public. Also, ensure you state in your email to NICE that your submission includes confidential comments.</w:t>
      </w:r>
    </w:p>
    <w:p w14:paraId="3037F2C6"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Spell out any abbreviations you use</w:t>
      </w:r>
    </w:p>
    <w:p w14:paraId="7ED5428C" w14:textId="77777777" w:rsidR="00572C22" w:rsidRPr="005F370B" w:rsidRDefault="00572C22" w:rsidP="008316C1">
      <w:pPr>
        <w:pStyle w:val="Bullets"/>
        <w:numPr>
          <w:ilvl w:val="0"/>
          <w:numId w:val="22"/>
        </w:numPr>
        <w:spacing w:after="0"/>
        <w:rPr>
          <w:rFonts w:cs="Arial"/>
        </w:rPr>
      </w:pPr>
      <w:r w:rsidRPr="005F370B">
        <w:rPr>
          <w:rFonts w:cs="Arial"/>
        </w:rPr>
        <w:lastRenderedPageBreak/>
        <w:t>Please provide concise supporting information for each key area. Provide reference to examples from the published or grey literature such as national, regional or local reports of variation in care, audits, surveys, confidential enquiries, uptake reports and evaluations such as impact of NICE guidance recommendations</w:t>
      </w:r>
    </w:p>
    <w:p w14:paraId="5666FC41" w14:textId="77777777" w:rsidR="00572C22" w:rsidRPr="005F370B" w:rsidRDefault="00572C22" w:rsidP="008316C1">
      <w:pPr>
        <w:pStyle w:val="Bullets"/>
        <w:numPr>
          <w:ilvl w:val="0"/>
          <w:numId w:val="22"/>
        </w:numPr>
        <w:spacing w:after="0"/>
        <w:rPr>
          <w:rFonts w:cs="Arial"/>
        </w:rPr>
      </w:pPr>
      <w:r w:rsidRPr="005F370B">
        <w:rPr>
          <w:rFonts w:cs="Arial"/>
        </w:rPr>
        <w:t xml:space="preserve">For copyright reasons, do not include attachments of </w:t>
      </w:r>
      <w:r w:rsidRPr="005F370B">
        <w:rPr>
          <w:rFonts w:cs="Arial"/>
          <w:b/>
        </w:rPr>
        <w:t>published</w:t>
      </w:r>
      <w:r w:rsidRPr="005F370B">
        <w:rPr>
          <w:rFonts w:cs="Arial"/>
        </w:rPr>
        <w:t xml:space="preserve"> material such as research articles, letters or leaflets. However, if you give us the full citation, we will obtain our own copy</w:t>
      </w:r>
    </w:p>
    <w:p w14:paraId="47E82C25" w14:textId="77777777" w:rsidR="00572C22" w:rsidRPr="005F370B" w:rsidRDefault="00572C22" w:rsidP="008316C1">
      <w:pPr>
        <w:pStyle w:val="Bullets"/>
        <w:numPr>
          <w:ilvl w:val="0"/>
          <w:numId w:val="22"/>
        </w:numPr>
        <w:spacing w:after="0"/>
        <w:rPr>
          <w:rFonts w:cs="Arial"/>
        </w:rPr>
      </w:pPr>
      <w:r w:rsidRPr="005F370B">
        <w:rPr>
          <w:rFonts w:cs="Arial"/>
        </w:rPr>
        <w:t>Attachments of unpublished reports, local reports / documents are permissible. If you wish to provide academic in confidence material i.e. written but not yet published, or commercial in confidence i.e. internal documentation, highlight this using the highlighter function in Word.</w:t>
      </w:r>
    </w:p>
    <w:p w14:paraId="30F25BD0" w14:textId="77777777" w:rsidR="00572C22" w:rsidRPr="005F370B" w:rsidRDefault="00572C22" w:rsidP="00572C22">
      <w:pPr>
        <w:pStyle w:val="Paragraphnonumbers"/>
        <w:rPr>
          <w:rFonts w:cs="Arial"/>
        </w:rPr>
      </w:pPr>
    </w:p>
    <w:p w14:paraId="5CB90244" w14:textId="7F65B562" w:rsidR="00572C22" w:rsidRPr="005F370B" w:rsidRDefault="00572C22" w:rsidP="00572C22">
      <w:pPr>
        <w:pStyle w:val="Paragraphnonumbers"/>
        <w:rPr>
          <w:rFonts w:cs="Arial"/>
        </w:rPr>
      </w:pPr>
      <w:r w:rsidRPr="005F370B">
        <w:rPr>
          <w:rFonts w:cs="Arial"/>
        </w:rPr>
        <w:t xml:space="preserve">Please return to </w:t>
      </w:r>
      <w:hyperlink r:id="rId20" w:history="1">
        <w:r w:rsidR="00762EAD">
          <w:rPr>
            <w:rStyle w:val="Hyperlink"/>
            <w:rFonts w:cs="Arial"/>
          </w:rPr>
          <w:t>QualityStandards@nice.org.uk</w:t>
        </w:r>
      </w:hyperlink>
    </w:p>
    <w:p w14:paraId="4098E463" w14:textId="77777777" w:rsidR="00572C22" w:rsidRPr="005F370B" w:rsidRDefault="00572C22" w:rsidP="00572C22">
      <w:pPr>
        <w:rPr>
          <w:rFonts w:ascii="Arial" w:hAnsi="Arial" w:cs="Arial"/>
          <w:iCs/>
          <w:sz w:val="20"/>
        </w:rPr>
      </w:pPr>
      <w:r w:rsidRPr="005F370B">
        <w:rPr>
          <w:rFonts w:ascii="Arial" w:hAnsi="Arial" w:cs="Arial"/>
          <w:iCs/>
          <w:sz w:val="20"/>
        </w:rPr>
        <w:t>NICE reserves the right to summarise and edit comments received during consultations, or not to publish them at all, where in the reasonable opinion of NICE, the comments are voluminous, publication would be unlawful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6EF7D07D" w14:textId="77777777" w:rsidR="00443081" w:rsidRPr="00181A4A" w:rsidRDefault="00443081" w:rsidP="00181A4A">
      <w:pPr>
        <w:pStyle w:val="Title"/>
      </w:pPr>
    </w:p>
    <w:sectPr w:rsidR="00443081" w:rsidRPr="00181A4A" w:rsidSect="00572C22">
      <w:footerReference w:type="default" r:id="rId2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97946" w14:textId="77777777" w:rsidR="00DB453E" w:rsidRDefault="00DB453E" w:rsidP="00446BEE">
      <w:r>
        <w:separator/>
      </w:r>
    </w:p>
  </w:endnote>
  <w:endnote w:type="continuationSeparator" w:id="0">
    <w:p w14:paraId="5E60A587" w14:textId="77777777" w:rsidR="00DB453E" w:rsidRDefault="00DB453E"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r>
      <w:fldChar w:fldCharType="begin"/>
    </w:r>
    <w:r>
      <w:instrText>NUMPAGES</w:instrText>
    </w:r>
    <w:r>
      <w:fldChar w:fldCharType="separate"/>
    </w:r>
    <w:r w:rsidR="007F238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07C25" w14:textId="77777777" w:rsidR="00DB453E" w:rsidRDefault="00DB453E" w:rsidP="00446BEE">
      <w:r>
        <w:separator/>
      </w:r>
    </w:p>
  </w:footnote>
  <w:footnote w:type="continuationSeparator" w:id="0">
    <w:p w14:paraId="7156A178" w14:textId="77777777" w:rsidR="00DB453E" w:rsidRDefault="00DB453E"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7E5663"/>
    <w:multiLevelType w:val="multilevel"/>
    <w:tmpl w:val="672EB16E"/>
    <w:numStyleLink w:val="Style1"/>
  </w:abstractNum>
  <w:abstractNum w:abstractNumId="12" w15:restartNumberingAfterBreak="0">
    <w:nsid w:val="0F3518C1"/>
    <w:multiLevelType w:val="hybridMultilevel"/>
    <w:tmpl w:val="99863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DB6785"/>
    <w:multiLevelType w:val="hybridMultilevel"/>
    <w:tmpl w:val="892CC9D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6E51F0"/>
    <w:multiLevelType w:val="multilevel"/>
    <w:tmpl w:val="4F249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2AB4B91"/>
    <w:multiLevelType w:val="hybridMultilevel"/>
    <w:tmpl w:val="60DE9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842752"/>
    <w:multiLevelType w:val="hybridMultilevel"/>
    <w:tmpl w:val="B282B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F2245C"/>
    <w:multiLevelType w:val="multilevel"/>
    <w:tmpl w:val="1EAAC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B471DD"/>
    <w:multiLevelType w:val="multilevel"/>
    <w:tmpl w:val="DBB8D9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9364DE"/>
    <w:multiLevelType w:val="multilevel"/>
    <w:tmpl w:val="672EB16E"/>
    <w:styleLink w:val="Style1"/>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color w:val="00465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num w:numId="1" w16cid:durableId="1755397751">
    <w:abstractNumId w:val="21"/>
  </w:num>
  <w:num w:numId="2" w16cid:durableId="1265963433">
    <w:abstractNumId w:val="23"/>
  </w:num>
  <w:num w:numId="3" w16cid:durableId="1345547568">
    <w:abstractNumId w:val="23"/>
    <w:lvlOverride w:ilvl="0">
      <w:startOverride w:val="1"/>
    </w:lvlOverride>
  </w:num>
  <w:num w:numId="4" w16cid:durableId="1505821975">
    <w:abstractNumId w:val="23"/>
    <w:lvlOverride w:ilvl="0">
      <w:startOverride w:val="1"/>
    </w:lvlOverride>
  </w:num>
  <w:num w:numId="5" w16cid:durableId="17439273">
    <w:abstractNumId w:val="23"/>
    <w:lvlOverride w:ilvl="0">
      <w:startOverride w:val="1"/>
    </w:lvlOverride>
  </w:num>
  <w:num w:numId="6" w16cid:durableId="1523321808">
    <w:abstractNumId w:val="23"/>
    <w:lvlOverride w:ilvl="0">
      <w:startOverride w:val="1"/>
    </w:lvlOverride>
  </w:num>
  <w:num w:numId="7" w16cid:durableId="376930024">
    <w:abstractNumId w:val="23"/>
    <w:lvlOverride w:ilvl="0">
      <w:startOverride w:val="1"/>
    </w:lvlOverride>
  </w:num>
  <w:num w:numId="8" w16cid:durableId="1394237572">
    <w:abstractNumId w:val="9"/>
  </w:num>
  <w:num w:numId="9" w16cid:durableId="595673147">
    <w:abstractNumId w:val="7"/>
  </w:num>
  <w:num w:numId="10" w16cid:durableId="399330327">
    <w:abstractNumId w:val="6"/>
  </w:num>
  <w:num w:numId="11" w16cid:durableId="192810186">
    <w:abstractNumId w:val="5"/>
  </w:num>
  <w:num w:numId="12" w16cid:durableId="1717655014">
    <w:abstractNumId w:val="4"/>
  </w:num>
  <w:num w:numId="13" w16cid:durableId="1579827874">
    <w:abstractNumId w:val="8"/>
  </w:num>
  <w:num w:numId="14" w16cid:durableId="162474388">
    <w:abstractNumId w:val="3"/>
  </w:num>
  <w:num w:numId="15" w16cid:durableId="1479806615">
    <w:abstractNumId w:val="2"/>
  </w:num>
  <w:num w:numId="16" w16cid:durableId="105926842">
    <w:abstractNumId w:val="1"/>
  </w:num>
  <w:num w:numId="17" w16cid:durableId="533882945">
    <w:abstractNumId w:val="0"/>
  </w:num>
  <w:num w:numId="18" w16cid:durableId="51009234">
    <w:abstractNumId w:val="15"/>
  </w:num>
  <w:num w:numId="19" w16cid:durableId="1670599334">
    <w:abstractNumId w:val="15"/>
    <w:lvlOverride w:ilvl="0">
      <w:startOverride w:val="1"/>
    </w:lvlOverride>
  </w:num>
  <w:num w:numId="20" w16cid:durableId="1128428536">
    <w:abstractNumId w:val="13"/>
  </w:num>
  <w:num w:numId="21" w16cid:durableId="1709910822">
    <w:abstractNumId w:val="17"/>
  </w:num>
  <w:num w:numId="22" w16cid:durableId="208689605">
    <w:abstractNumId w:val="10"/>
  </w:num>
  <w:num w:numId="23" w16cid:durableId="664625187">
    <w:abstractNumId w:val="12"/>
  </w:num>
  <w:num w:numId="24" w16cid:durableId="1377654833">
    <w:abstractNumId w:val="18"/>
  </w:num>
  <w:num w:numId="25" w16cid:durableId="367607251">
    <w:abstractNumId w:val="24"/>
  </w:num>
  <w:num w:numId="26" w16cid:durableId="2128349201">
    <w:abstractNumId w:val="11"/>
  </w:num>
  <w:num w:numId="27" w16cid:durableId="9850095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60046263">
    <w:abstractNumId w:val="19"/>
  </w:num>
  <w:num w:numId="29" w16cid:durableId="623193216">
    <w:abstractNumId w:val="16"/>
  </w:num>
  <w:num w:numId="30" w16cid:durableId="737442676">
    <w:abstractNumId w:val="20"/>
  </w:num>
  <w:num w:numId="31" w16cid:durableId="124861508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16998"/>
    <w:rsid w:val="00024D0A"/>
    <w:rsid w:val="00027A9C"/>
    <w:rsid w:val="000472DC"/>
    <w:rsid w:val="00056165"/>
    <w:rsid w:val="00070065"/>
    <w:rsid w:val="000A4FEE"/>
    <w:rsid w:val="000B5939"/>
    <w:rsid w:val="000F609C"/>
    <w:rsid w:val="00100812"/>
    <w:rsid w:val="001107B3"/>
    <w:rsid w:val="00111CCE"/>
    <w:rsid w:val="001134E7"/>
    <w:rsid w:val="0017149E"/>
    <w:rsid w:val="0017169E"/>
    <w:rsid w:val="00181A4A"/>
    <w:rsid w:val="001B0EE9"/>
    <w:rsid w:val="001B65B3"/>
    <w:rsid w:val="001F7EAA"/>
    <w:rsid w:val="002029A6"/>
    <w:rsid w:val="002232BE"/>
    <w:rsid w:val="002408EA"/>
    <w:rsid w:val="002737DE"/>
    <w:rsid w:val="002819D7"/>
    <w:rsid w:val="002C1A7E"/>
    <w:rsid w:val="002D3376"/>
    <w:rsid w:val="0030621E"/>
    <w:rsid w:val="00311ED0"/>
    <w:rsid w:val="00314EBC"/>
    <w:rsid w:val="00345509"/>
    <w:rsid w:val="00352144"/>
    <w:rsid w:val="003648C5"/>
    <w:rsid w:val="003722FA"/>
    <w:rsid w:val="00385C55"/>
    <w:rsid w:val="00386D5E"/>
    <w:rsid w:val="00390A36"/>
    <w:rsid w:val="003C7AAF"/>
    <w:rsid w:val="003F30B7"/>
    <w:rsid w:val="003F5304"/>
    <w:rsid w:val="004075B6"/>
    <w:rsid w:val="00420952"/>
    <w:rsid w:val="00433EFF"/>
    <w:rsid w:val="00443081"/>
    <w:rsid w:val="00446BEE"/>
    <w:rsid w:val="005025A1"/>
    <w:rsid w:val="00514924"/>
    <w:rsid w:val="00526BF3"/>
    <w:rsid w:val="00546907"/>
    <w:rsid w:val="00553D90"/>
    <w:rsid w:val="00572C22"/>
    <w:rsid w:val="005C0C25"/>
    <w:rsid w:val="005C33FB"/>
    <w:rsid w:val="005D2F60"/>
    <w:rsid w:val="005F6ECF"/>
    <w:rsid w:val="00617177"/>
    <w:rsid w:val="00624EE5"/>
    <w:rsid w:val="00644C45"/>
    <w:rsid w:val="00667B3E"/>
    <w:rsid w:val="006921E1"/>
    <w:rsid w:val="006A77D1"/>
    <w:rsid w:val="006B56B7"/>
    <w:rsid w:val="006B6510"/>
    <w:rsid w:val="006F4B25"/>
    <w:rsid w:val="006F6496"/>
    <w:rsid w:val="007311EE"/>
    <w:rsid w:val="00736348"/>
    <w:rsid w:val="00760908"/>
    <w:rsid w:val="00762EAD"/>
    <w:rsid w:val="00780341"/>
    <w:rsid w:val="007F14A3"/>
    <w:rsid w:val="007F238D"/>
    <w:rsid w:val="007F64A8"/>
    <w:rsid w:val="008316C1"/>
    <w:rsid w:val="00861B92"/>
    <w:rsid w:val="008814FB"/>
    <w:rsid w:val="00885607"/>
    <w:rsid w:val="00886738"/>
    <w:rsid w:val="008D1042"/>
    <w:rsid w:val="008F5E30"/>
    <w:rsid w:val="00914D7F"/>
    <w:rsid w:val="00922981"/>
    <w:rsid w:val="00964CAD"/>
    <w:rsid w:val="00997730"/>
    <w:rsid w:val="0099778E"/>
    <w:rsid w:val="009D7D70"/>
    <w:rsid w:val="009E680B"/>
    <w:rsid w:val="009F0048"/>
    <w:rsid w:val="00A11FD3"/>
    <w:rsid w:val="00A15A1F"/>
    <w:rsid w:val="00A3325A"/>
    <w:rsid w:val="00A43013"/>
    <w:rsid w:val="00A43AAC"/>
    <w:rsid w:val="00AF108A"/>
    <w:rsid w:val="00B02E55"/>
    <w:rsid w:val="00B036C1"/>
    <w:rsid w:val="00B26FFB"/>
    <w:rsid w:val="00B5431F"/>
    <w:rsid w:val="00B56D7A"/>
    <w:rsid w:val="00B657D9"/>
    <w:rsid w:val="00B73FB9"/>
    <w:rsid w:val="00B84D3C"/>
    <w:rsid w:val="00B852BD"/>
    <w:rsid w:val="00B876BA"/>
    <w:rsid w:val="00BF7FE0"/>
    <w:rsid w:val="00C14790"/>
    <w:rsid w:val="00C67B74"/>
    <w:rsid w:val="00C81104"/>
    <w:rsid w:val="00C96411"/>
    <w:rsid w:val="00C9654E"/>
    <w:rsid w:val="00CB5671"/>
    <w:rsid w:val="00CE3B58"/>
    <w:rsid w:val="00CF58B7"/>
    <w:rsid w:val="00D036CC"/>
    <w:rsid w:val="00D04E41"/>
    <w:rsid w:val="00D351C1"/>
    <w:rsid w:val="00D35EFB"/>
    <w:rsid w:val="00D504B3"/>
    <w:rsid w:val="00D86BF0"/>
    <w:rsid w:val="00DB453E"/>
    <w:rsid w:val="00DB57D8"/>
    <w:rsid w:val="00E202D8"/>
    <w:rsid w:val="00E51920"/>
    <w:rsid w:val="00E51D9E"/>
    <w:rsid w:val="00E64120"/>
    <w:rsid w:val="00E64E34"/>
    <w:rsid w:val="00E660A1"/>
    <w:rsid w:val="00E81857"/>
    <w:rsid w:val="00E85303"/>
    <w:rsid w:val="00E958EB"/>
    <w:rsid w:val="00EA3CCF"/>
    <w:rsid w:val="00EC3B78"/>
    <w:rsid w:val="00ED6023"/>
    <w:rsid w:val="00EF61F1"/>
    <w:rsid w:val="00F055F1"/>
    <w:rsid w:val="00F610AF"/>
    <w:rsid w:val="00F92D51"/>
    <w:rsid w:val="00FA2C5A"/>
    <w:rsid w:val="00FC2D11"/>
    <w:rsid w:val="00FC4526"/>
    <w:rsid w:val="00FC6230"/>
    <w:rsid w:val="00FF61E7"/>
    <w:rsid w:val="030E184B"/>
    <w:rsid w:val="035394D1"/>
    <w:rsid w:val="054450DA"/>
    <w:rsid w:val="0593AC18"/>
    <w:rsid w:val="0615C646"/>
    <w:rsid w:val="08241A93"/>
    <w:rsid w:val="088439BC"/>
    <w:rsid w:val="0CFCBCB5"/>
    <w:rsid w:val="0D3F546E"/>
    <w:rsid w:val="0F1E0210"/>
    <w:rsid w:val="0F2A90F7"/>
    <w:rsid w:val="12417F89"/>
    <w:rsid w:val="1420ACAC"/>
    <w:rsid w:val="1B2239EB"/>
    <w:rsid w:val="1B407A2C"/>
    <w:rsid w:val="1BDDCCA5"/>
    <w:rsid w:val="1D7A5B95"/>
    <w:rsid w:val="204AB11B"/>
    <w:rsid w:val="25E7F285"/>
    <w:rsid w:val="26C5F4DC"/>
    <w:rsid w:val="291B721A"/>
    <w:rsid w:val="2B8B08BE"/>
    <w:rsid w:val="2C139E0F"/>
    <w:rsid w:val="2C4E8C84"/>
    <w:rsid w:val="2C7CFA1D"/>
    <w:rsid w:val="2CD51D89"/>
    <w:rsid w:val="2EBC447B"/>
    <w:rsid w:val="2ED8EE25"/>
    <w:rsid w:val="2F7B32EE"/>
    <w:rsid w:val="312EC720"/>
    <w:rsid w:val="316C7C1F"/>
    <w:rsid w:val="3215C00A"/>
    <w:rsid w:val="353646CA"/>
    <w:rsid w:val="397F5158"/>
    <w:rsid w:val="3B885710"/>
    <w:rsid w:val="3CC82FEF"/>
    <w:rsid w:val="3D1D9097"/>
    <w:rsid w:val="3D311348"/>
    <w:rsid w:val="3F0A407B"/>
    <w:rsid w:val="3FADBBDC"/>
    <w:rsid w:val="416838E3"/>
    <w:rsid w:val="42E8C005"/>
    <w:rsid w:val="46E7FCF8"/>
    <w:rsid w:val="4794D657"/>
    <w:rsid w:val="49194B80"/>
    <w:rsid w:val="4A665811"/>
    <w:rsid w:val="4A67628F"/>
    <w:rsid w:val="4B0E6B21"/>
    <w:rsid w:val="4FEA7570"/>
    <w:rsid w:val="516F7BF1"/>
    <w:rsid w:val="51CFC3EF"/>
    <w:rsid w:val="523EAFC5"/>
    <w:rsid w:val="55859025"/>
    <w:rsid w:val="55E322E9"/>
    <w:rsid w:val="5640E263"/>
    <w:rsid w:val="57954DB9"/>
    <w:rsid w:val="57FF2E05"/>
    <w:rsid w:val="58011150"/>
    <w:rsid w:val="5AB4FBFA"/>
    <w:rsid w:val="5C4B1EBA"/>
    <w:rsid w:val="5D0A06CE"/>
    <w:rsid w:val="5D6A29FE"/>
    <w:rsid w:val="606BB40C"/>
    <w:rsid w:val="65884864"/>
    <w:rsid w:val="65C39990"/>
    <w:rsid w:val="66351605"/>
    <w:rsid w:val="6720CE10"/>
    <w:rsid w:val="6727B86A"/>
    <w:rsid w:val="68E9AC62"/>
    <w:rsid w:val="6A4A6AEE"/>
    <w:rsid w:val="6F92A661"/>
    <w:rsid w:val="70C8C9B3"/>
    <w:rsid w:val="71689FCA"/>
    <w:rsid w:val="72D2964C"/>
    <w:rsid w:val="73A9258A"/>
    <w:rsid w:val="77E8D835"/>
    <w:rsid w:val="78AC8CDC"/>
    <w:rsid w:val="7A2BF2DB"/>
    <w:rsid w:val="7C01394A"/>
    <w:rsid w:val="7E17C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97F9BD"/>
  <w15:chartTrackingRefBased/>
  <w15:docId w15:val="{D321BC84-06F8-4338-BA38-B59077411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semiHidden/>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CommentSubject">
    <w:name w:val="annotation subject"/>
    <w:basedOn w:val="CommentText"/>
    <w:next w:val="CommentText"/>
    <w:link w:val="CommentSubjectChar"/>
    <w:semiHidden/>
    <w:unhideWhenUsed/>
    <w:rsid w:val="00644C45"/>
    <w:rPr>
      <w:rFonts w:ascii="Times New Roman" w:hAnsi="Times New Roman"/>
      <w:b/>
      <w:bCs/>
      <w:lang w:eastAsia="en-GB"/>
    </w:rPr>
  </w:style>
  <w:style w:type="character" w:customStyle="1" w:styleId="CommentSubjectChar">
    <w:name w:val="Comment Subject Char"/>
    <w:basedOn w:val="CommentTextChar"/>
    <w:link w:val="CommentSubject"/>
    <w:semiHidden/>
    <w:rsid w:val="00644C45"/>
    <w:rPr>
      <w:rFonts w:ascii="Arial" w:hAnsi="Arial"/>
      <w:b/>
      <w:bCs/>
      <w:lang w:eastAsia="en-US"/>
    </w:rPr>
  </w:style>
  <w:style w:type="paragraph" w:customStyle="1" w:styleId="NICEnormal">
    <w:name w:val="NICE normal"/>
    <w:link w:val="NICEnormalChar"/>
    <w:qFormat/>
    <w:rsid w:val="006B56B7"/>
    <w:pPr>
      <w:spacing w:after="240" w:line="360" w:lineRule="auto"/>
    </w:pPr>
    <w:rPr>
      <w:rFonts w:ascii="Arial" w:hAnsi="Arial"/>
      <w:sz w:val="24"/>
      <w:szCs w:val="24"/>
      <w:lang w:eastAsia="en-US"/>
    </w:rPr>
  </w:style>
  <w:style w:type="character" w:customStyle="1" w:styleId="NICEnormalChar">
    <w:name w:val="NICE normal Char"/>
    <w:link w:val="NICEnormal"/>
    <w:rsid w:val="006B56B7"/>
    <w:rPr>
      <w:rFonts w:ascii="Arial" w:hAnsi="Arial"/>
      <w:sz w:val="24"/>
      <w:szCs w:val="24"/>
      <w:lang w:eastAsia="en-US"/>
    </w:rPr>
  </w:style>
  <w:style w:type="numbering" w:customStyle="1" w:styleId="Style1">
    <w:name w:val="Style1"/>
    <w:uiPriority w:val="99"/>
    <w:locked/>
    <w:rsid w:val="00B852BD"/>
    <w:pPr>
      <w:numPr>
        <w:numId w:val="25"/>
      </w:numPr>
    </w:pPr>
  </w:style>
  <w:style w:type="paragraph" w:customStyle="1" w:styleId="paragraph0">
    <w:name w:val="paragraph"/>
    <w:basedOn w:val="Normal"/>
    <w:rsid w:val="0030621E"/>
    <w:pPr>
      <w:spacing w:before="100" w:beforeAutospacing="1" w:after="100" w:afterAutospacing="1"/>
    </w:pPr>
  </w:style>
  <w:style w:type="character" w:customStyle="1" w:styleId="normaltextrun">
    <w:name w:val="normaltextrun"/>
    <w:basedOn w:val="DefaultParagraphFont"/>
    <w:rsid w:val="0030621E"/>
  </w:style>
  <w:style w:type="character" w:customStyle="1" w:styleId="eop">
    <w:name w:val="eop"/>
    <w:basedOn w:val="DefaultParagraphFont"/>
    <w:rsid w:val="0030621E"/>
  </w:style>
  <w:style w:type="character" w:styleId="UnresolvedMention">
    <w:name w:val="Unresolved Mention"/>
    <w:basedOn w:val="DefaultParagraphFont"/>
    <w:uiPriority w:val="99"/>
    <w:semiHidden/>
    <w:unhideWhenUsed/>
    <w:rsid w:val="005C0C25"/>
    <w:rPr>
      <w:color w:val="605E5C"/>
      <w:shd w:val="clear" w:color="auto" w:fill="E1DFDD"/>
    </w:rPr>
  </w:style>
  <w:style w:type="paragraph" w:styleId="Revision">
    <w:name w:val="Revision"/>
    <w:hidden/>
    <w:uiPriority w:val="99"/>
    <w:semiHidden/>
    <w:rsid w:val="00B657D9"/>
    <w:rPr>
      <w:sz w:val="24"/>
      <w:szCs w:val="24"/>
    </w:rPr>
  </w:style>
  <w:style w:type="paragraph" w:styleId="NormalWeb">
    <w:name w:val="Normal (Web)"/>
    <w:basedOn w:val="Normal"/>
    <w:uiPriority w:val="99"/>
    <w:semiHidden/>
    <w:unhideWhenUsed/>
    <w:rsid w:val="00964CAD"/>
    <w:pPr>
      <w:spacing w:before="100" w:beforeAutospacing="1" w:after="100" w:afterAutospacing="1"/>
    </w:pPr>
  </w:style>
  <w:style w:type="character" w:styleId="Strong">
    <w:name w:val="Strong"/>
    <w:basedOn w:val="DefaultParagraphFont"/>
    <w:uiPriority w:val="22"/>
    <w:qFormat/>
    <w:rsid w:val="00314E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262213">
      <w:bodyDiv w:val="1"/>
      <w:marLeft w:val="0"/>
      <w:marRight w:val="0"/>
      <w:marTop w:val="0"/>
      <w:marBottom w:val="0"/>
      <w:divBdr>
        <w:top w:val="none" w:sz="0" w:space="0" w:color="auto"/>
        <w:left w:val="none" w:sz="0" w:space="0" w:color="auto"/>
        <w:bottom w:val="none" w:sz="0" w:space="0" w:color="auto"/>
        <w:right w:val="none" w:sz="0" w:space="0" w:color="auto"/>
      </w:divBdr>
      <w:divsChild>
        <w:div w:id="927733623">
          <w:marLeft w:val="0"/>
          <w:marRight w:val="0"/>
          <w:marTop w:val="0"/>
          <w:marBottom w:val="0"/>
          <w:divBdr>
            <w:top w:val="none" w:sz="0" w:space="0" w:color="auto"/>
            <w:left w:val="none" w:sz="0" w:space="0" w:color="auto"/>
            <w:bottom w:val="none" w:sz="0" w:space="0" w:color="auto"/>
            <w:right w:val="none" w:sz="0" w:space="0" w:color="auto"/>
          </w:divBdr>
          <w:divsChild>
            <w:div w:id="1834561197">
              <w:marLeft w:val="0"/>
              <w:marRight w:val="0"/>
              <w:marTop w:val="0"/>
              <w:marBottom w:val="0"/>
              <w:divBdr>
                <w:top w:val="none" w:sz="0" w:space="0" w:color="auto"/>
                <w:left w:val="none" w:sz="0" w:space="0" w:color="auto"/>
                <w:bottom w:val="none" w:sz="0" w:space="0" w:color="auto"/>
                <w:right w:val="none" w:sz="0" w:space="0" w:color="auto"/>
              </w:divBdr>
            </w:div>
          </w:divsChild>
        </w:div>
        <w:div w:id="135492382">
          <w:marLeft w:val="0"/>
          <w:marRight w:val="0"/>
          <w:marTop w:val="0"/>
          <w:marBottom w:val="0"/>
          <w:divBdr>
            <w:top w:val="none" w:sz="0" w:space="0" w:color="auto"/>
            <w:left w:val="none" w:sz="0" w:space="0" w:color="auto"/>
            <w:bottom w:val="none" w:sz="0" w:space="0" w:color="auto"/>
            <w:right w:val="none" w:sz="0" w:space="0" w:color="auto"/>
          </w:divBdr>
          <w:divsChild>
            <w:div w:id="767699919">
              <w:marLeft w:val="0"/>
              <w:marRight w:val="0"/>
              <w:marTop w:val="0"/>
              <w:marBottom w:val="0"/>
              <w:divBdr>
                <w:top w:val="none" w:sz="0" w:space="0" w:color="auto"/>
                <w:left w:val="none" w:sz="0" w:space="0" w:color="auto"/>
                <w:bottom w:val="none" w:sz="0" w:space="0" w:color="auto"/>
                <w:right w:val="none" w:sz="0" w:space="0" w:color="auto"/>
              </w:divBdr>
            </w:div>
            <w:div w:id="744644869">
              <w:marLeft w:val="0"/>
              <w:marRight w:val="0"/>
              <w:marTop w:val="0"/>
              <w:marBottom w:val="0"/>
              <w:divBdr>
                <w:top w:val="none" w:sz="0" w:space="0" w:color="auto"/>
                <w:left w:val="none" w:sz="0" w:space="0" w:color="auto"/>
                <w:bottom w:val="none" w:sz="0" w:space="0" w:color="auto"/>
                <w:right w:val="none" w:sz="0" w:space="0" w:color="auto"/>
              </w:divBdr>
            </w:div>
            <w:div w:id="550963911">
              <w:marLeft w:val="0"/>
              <w:marRight w:val="0"/>
              <w:marTop w:val="0"/>
              <w:marBottom w:val="0"/>
              <w:divBdr>
                <w:top w:val="none" w:sz="0" w:space="0" w:color="auto"/>
                <w:left w:val="none" w:sz="0" w:space="0" w:color="auto"/>
                <w:bottom w:val="none" w:sz="0" w:space="0" w:color="auto"/>
                <w:right w:val="none" w:sz="0" w:space="0" w:color="auto"/>
              </w:divBdr>
            </w:div>
            <w:div w:id="218127776">
              <w:marLeft w:val="0"/>
              <w:marRight w:val="0"/>
              <w:marTop w:val="0"/>
              <w:marBottom w:val="0"/>
              <w:divBdr>
                <w:top w:val="none" w:sz="0" w:space="0" w:color="auto"/>
                <w:left w:val="none" w:sz="0" w:space="0" w:color="auto"/>
                <w:bottom w:val="none" w:sz="0" w:space="0" w:color="auto"/>
                <w:right w:val="none" w:sz="0" w:space="0" w:color="auto"/>
              </w:divBdr>
            </w:div>
          </w:divsChild>
        </w:div>
        <w:div w:id="922449760">
          <w:marLeft w:val="0"/>
          <w:marRight w:val="0"/>
          <w:marTop w:val="0"/>
          <w:marBottom w:val="0"/>
          <w:divBdr>
            <w:top w:val="none" w:sz="0" w:space="0" w:color="auto"/>
            <w:left w:val="none" w:sz="0" w:space="0" w:color="auto"/>
            <w:bottom w:val="none" w:sz="0" w:space="0" w:color="auto"/>
            <w:right w:val="none" w:sz="0" w:space="0" w:color="auto"/>
          </w:divBdr>
          <w:divsChild>
            <w:div w:id="1282610570">
              <w:marLeft w:val="0"/>
              <w:marRight w:val="0"/>
              <w:marTop w:val="0"/>
              <w:marBottom w:val="0"/>
              <w:divBdr>
                <w:top w:val="none" w:sz="0" w:space="0" w:color="auto"/>
                <w:left w:val="none" w:sz="0" w:space="0" w:color="auto"/>
                <w:bottom w:val="none" w:sz="0" w:space="0" w:color="auto"/>
                <w:right w:val="none" w:sz="0" w:space="0" w:color="auto"/>
              </w:divBdr>
            </w:div>
            <w:div w:id="1611887987">
              <w:marLeft w:val="0"/>
              <w:marRight w:val="0"/>
              <w:marTop w:val="0"/>
              <w:marBottom w:val="0"/>
              <w:divBdr>
                <w:top w:val="none" w:sz="0" w:space="0" w:color="auto"/>
                <w:left w:val="none" w:sz="0" w:space="0" w:color="auto"/>
                <w:bottom w:val="none" w:sz="0" w:space="0" w:color="auto"/>
                <w:right w:val="none" w:sz="0" w:space="0" w:color="auto"/>
              </w:divBdr>
            </w:div>
            <w:div w:id="186392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757792">
      <w:bodyDiv w:val="1"/>
      <w:marLeft w:val="0"/>
      <w:marRight w:val="0"/>
      <w:marTop w:val="0"/>
      <w:marBottom w:val="0"/>
      <w:divBdr>
        <w:top w:val="none" w:sz="0" w:space="0" w:color="auto"/>
        <w:left w:val="none" w:sz="0" w:space="0" w:color="auto"/>
        <w:bottom w:val="none" w:sz="0" w:space="0" w:color="auto"/>
        <w:right w:val="none" w:sz="0" w:space="0" w:color="auto"/>
      </w:divBdr>
    </w:div>
    <w:div w:id="1772121467">
      <w:bodyDiv w:val="1"/>
      <w:marLeft w:val="0"/>
      <w:marRight w:val="0"/>
      <w:marTop w:val="0"/>
      <w:marBottom w:val="0"/>
      <w:divBdr>
        <w:top w:val="none" w:sz="0" w:space="0" w:color="auto"/>
        <w:left w:val="none" w:sz="0" w:space="0" w:color="auto"/>
        <w:bottom w:val="none" w:sz="0" w:space="0" w:color="auto"/>
        <w:right w:val="none" w:sz="0" w:space="0" w:color="auto"/>
      </w:divBdr>
    </w:div>
    <w:div w:id="181424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qs149" TargetMode="External"/><Relationship Id="rId13" Type="http://schemas.openxmlformats.org/officeDocument/2006/relationships/hyperlink" Target="https://pubmed.ncbi.nlm.nih.gov/38916641/" TargetMode="External"/><Relationship Id="rId18" Type="http://schemas.openxmlformats.org/officeDocument/2006/relationships/hyperlink" Target="https://onlinelibrary.wiley.com/doi/full/10.1002/hsr2.849" TargetMode="Externa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QualityStandards@nice.org.uk" TargetMode="External"/><Relationship Id="rId12" Type="http://schemas.openxmlformats.org/officeDocument/2006/relationships/hyperlink" Target="https://www.nice.org.uk/standards-and-indicators/get-involved/support-a-quality-standard" TargetMode="External"/><Relationship Id="rId17" Type="http://schemas.openxmlformats.org/officeDocument/2006/relationships/hyperlink" Target="https://pmc.ncbi.nlm.nih.gov/articles/PMC6372810/"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doi.org/10.1093/ageing/afac205" TargetMode="External"/><Relationship Id="rId20" Type="http://schemas.openxmlformats.org/officeDocument/2006/relationships/hyperlink" Target="mailto:QualityStandards@nice.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indevelopment/gid-ng10216/documents" TargetMode="Externa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www.rcgp.org.uk/about/communities-groups/health-inequalities" TargetMode="External"/><Relationship Id="rId23" Type="http://schemas.openxmlformats.org/officeDocument/2006/relationships/theme" Target="theme/theme1.xml"/><Relationship Id="rId10" Type="http://schemas.openxmlformats.org/officeDocument/2006/relationships/hyperlink" Target="https://www.nice.org.uk/guidance/cg146" TargetMode="External"/><Relationship Id="rId19" Type="http://schemas.openxmlformats.org/officeDocument/2006/relationships/hyperlink" Target="https://www.nice.org.uk/guidance/ta464/resources/bisphosphonates-for-treating-osteoporosis-patient-decision-aid-pdf-6896787085" TargetMode="External"/><Relationship Id="rId4" Type="http://schemas.openxmlformats.org/officeDocument/2006/relationships/webSettings" Target="webSettings.xml"/><Relationship Id="rId9" Type="http://schemas.openxmlformats.org/officeDocument/2006/relationships/hyperlink" Target="https://www.nice.org.uk/guidance/indevelopment/gid-ng10216" TargetMode="External"/><Relationship Id="rId14" Type="http://schemas.openxmlformats.org/officeDocument/2006/relationships/hyperlink" Target="https://onlinelibrary.wiley.com/doi/full/10.1111/bld.12598?msockid=0fc084d33d556132363b92f03c7260d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5FEE1ACB51A4CB259A23F8D1FC76E" ma:contentTypeVersion="18" ma:contentTypeDescription="Create a new document." ma:contentTypeScope="" ma:versionID="10a79e0a7a8aea60ab1feb55ee5335cc">
  <xsd:schema xmlns:xsd="http://www.w3.org/2001/XMLSchema" xmlns:xs="http://www.w3.org/2001/XMLSchema" xmlns:p="http://schemas.microsoft.com/office/2006/metadata/properties" xmlns:ns2="3d8b9d85-7192-425b-ac2c-2b556fe5fe9f" xmlns:ns3="a20c1dae-a585-4ea0-8004-924b43e983b9" targetNamespace="http://schemas.microsoft.com/office/2006/metadata/properties" ma:root="true" ma:fieldsID="acbc0bc1bb7d0ef3702fc062ece2c4d6" ns2:_="" ns3:_="">
    <xsd:import namespace="3d8b9d85-7192-425b-ac2c-2b556fe5fe9f"/>
    <xsd:import namespace="a20c1dae-a585-4ea0-8004-924b43e983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9d85-7192-425b-ac2c-2b556fe5f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5156a5-ab19-4525-af57-dc6961067a9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0c1dae-a585-4ea0-8004-924b43e983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8716d0e-8f0d-40d2-a32d-b99a7f0db4fe}" ma:internalName="TaxCatchAll" ma:showField="CatchAllData" ma:web="a20c1dae-a585-4ea0-8004-924b43e98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8b9d85-7192-425b-ac2c-2b556fe5fe9f">
      <Terms xmlns="http://schemas.microsoft.com/office/infopath/2007/PartnerControls"/>
    </lcf76f155ced4ddcb4097134ff3c332f>
    <TaxCatchAll xmlns="a20c1dae-a585-4ea0-8004-924b43e983b9" xsi:nil="true"/>
  </documentManagement>
</p:properties>
</file>

<file path=customXml/itemProps1.xml><?xml version="1.0" encoding="utf-8"?>
<ds:datastoreItem xmlns:ds="http://schemas.openxmlformats.org/officeDocument/2006/customXml" ds:itemID="{EE785CF8-7246-40D4-9327-85B1D91324D5}"/>
</file>

<file path=customXml/itemProps2.xml><?xml version="1.0" encoding="utf-8"?>
<ds:datastoreItem xmlns:ds="http://schemas.openxmlformats.org/officeDocument/2006/customXml" ds:itemID="{5D40DF22-D9F8-443D-8F54-8D2F9657FB2B}"/>
</file>

<file path=customXml/itemProps3.xml><?xml version="1.0" encoding="utf-8"?>
<ds:datastoreItem xmlns:ds="http://schemas.openxmlformats.org/officeDocument/2006/customXml" ds:itemID="{E407A6FD-54EB-46B9-AEFF-48E966931771}"/>
</file>

<file path=docProps/app.xml><?xml version="1.0" encoding="utf-8"?>
<Properties xmlns="http://schemas.openxmlformats.org/officeDocument/2006/extended-properties" xmlns:vt="http://schemas.openxmlformats.org/officeDocument/2006/docPropsVTypes">
  <Template>normal</Template>
  <TotalTime>26</TotalTime>
  <Pages>9</Pages>
  <Words>1603</Words>
  <Characters>10602</Characters>
  <Application>Microsoft Office Word</Application>
  <DocSecurity>0</DocSecurity>
  <Lines>88</Lines>
  <Paragraphs>24</Paragraphs>
  <ScaleCrop>false</ScaleCrop>
  <Company/>
  <LinksUpToDate>false</LinksUpToDate>
  <CharactersWithSpaces>12181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PETERSEN, Katharine (FORUM FAMILY PRACTICE)</dc:creator>
  <cp:keywords/>
  <dc:description/>
  <cp:lastModifiedBy>Anika Mandla</cp:lastModifiedBy>
  <cp:revision>10</cp:revision>
  <dcterms:created xsi:type="dcterms:W3CDTF">2025-07-30T09:47:00Z</dcterms:created>
  <dcterms:modified xsi:type="dcterms:W3CDTF">2025-07-31T09:41:00Z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2025-07-04T13:02:01Z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3f1433be-95f5-4928-8742-3640b7c77450</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y fmtid="{D5CDD505-2E9C-101B-9397-08002B2CF9AE}" pid="10" name="ContentTypeId">
    <vt:lpwstr>0x010100A3F5FEE1ACB51A4CB259A23F8D1FC76E</vt:lpwstr>
  </property>
</Properties>
</file>